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3238CC3C" w:rsidR="00F909E2" w:rsidRPr="0070003C" w:rsidRDefault="0070003C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r w:rsidR="00123F22" w:rsidRPr="0070003C">
            <w:rPr>
              <w:rFonts w:ascii="Arial" w:hAnsi="Arial" w:cs="Arial"/>
              <w:sz w:val="36"/>
              <w:szCs w:val="36"/>
            </w:rPr>
            <w:t>Tobramycin sulfate</w:t>
          </w:r>
          <w:r>
            <w:rPr>
              <w:rFonts w:ascii="Arial" w:hAnsi="Arial" w:cs="Arial"/>
              <w:sz w:val="36"/>
              <w:szCs w:val="36"/>
            </w:rPr>
            <w:t xml:space="preserve"> 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66946054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80801923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249755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56002694"/>
                      </w:sdtPr>
                      <w:sdtEndPr/>
                      <w:sdtContent>
                        <w:p w14:paraId="0E35AE9E" w14:textId="77777777" w:rsidR="00E064C2" w:rsidRDefault="00E064C2" w:rsidP="00E064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Tobramycin sulfate is hazardous in case of skin contact or eye contact, </w:t>
                          </w:r>
                          <w:r w:rsidRPr="00E064C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irritant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3C789D18" w14:textId="77777777" w:rsidR="00E064C2" w:rsidRDefault="00E064C2" w:rsidP="00E064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Harmful if swallowed, inhaled, or in contact with the skin or eyes. Avoid breathing spray/mist. </w:t>
                          </w:r>
                        </w:p>
                        <w:p w14:paraId="7A8ABF71" w14:textId="0AAF3BF2" w:rsidR="00E064C2" w:rsidRDefault="00E064C2" w:rsidP="00E064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A75E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substance may be toxic to kidneys, ears. Repeated or prolonged exposure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A75E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to the substance 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an produce target organs damage.</w:t>
                          </w:r>
                        </w:p>
                        <w:p w14:paraId="7BF1EA1C" w14:textId="06B5AFD9" w:rsidR="00E064C2" w:rsidRDefault="00E064C2" w:rsidP="00E064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Has the following synonyms: </w:t>
                          </w:r>
                          <w:proofErr w:type="spellStart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Tobralex</w:t>
                          </w:r>
                          <w:proofErr w:type="spellEnd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Tobrex</w:t>
                          </w:r>
                          <w:proofErr w:type="spellEnd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Tobradistin</w:t>
                          </w:r>
                          <w:proofErr w:type="spellEnd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Obramycin</w:t>
                          </w:r>
                          <w:proofErr w:type="spellEnd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Obracin</w:t>
                          </w:r>
                          <w:proofErr w:type="spellEnd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Nebramycin, </w:t>
                          </w:r>
                          <w:proofErr w:type="spellStart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Gernebcin</w:t>
                          </w:r>
                          <w:proofErr w:type="spellEnd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Distobram</w:t>
                          </w:r>
                          <w:proofErr w:type="spellEnd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Deoxykanamycin</w:t>
                          </w:r>
                          <w:proofErr w:type="spellEnd"/>
                          <w:r w:rsidRPr="00E064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1-Epitobramycin</w:t>
                          </w:r>
                        </w:p>
                        <w:p w14:paraId="476B4860" w14:textId="2682270F" w:rsidR="00E167E8" w:rsidRPr="00E064C2" w:rsidRDefault="00E064C2" w:rsidP="00E064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Tobramycin sulfate is an injectable aminoglycoside antibiotic used to treat infection.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A6A6971" w14:textId="77777777" w:rsidR="00B045FB" w:rsidRDefault="00B045FB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27E1B561" w:rsidR="00C406D4" w:rsidRPr="00300725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0A48FC08" w:rsidR="00D61C24" w:rsidRPr="004F78A2" w:rsidRDefault="00D8294B" w:rsidP="00352F12">
      <w:pPr>
        <w:rPr>
          <w:rFonts w:ascii="Arial" w:eastAsia="Times New Roman" w:hAnsi="Arial" w:cs="Arial"/>
          <w:sz w:val="20"/>
          <w:szCs w:val="20"/>
        </w:rPr>
      </w:pPr>
      <w:r w:rsidRPr="004F78A2">
        <w:rPr>
          <w:rFonts w:ascii="Arial" w:hAnsi="Arial" w:cs="Arial"/>
          <w:sz w:val="20"/>
          <w:szCs w:val="20"/>
        </w:rPr>
        <w:t>CAS#:</w:t>
      </w:r>
      <w:r w:rsidR="00F95DC2" w:rsidRPr="004F78A2">
        <w:rPr>
          <w:rFonts w:ascii="Arial" w:hAnsi="Arial" w:cs="Arial"/>
          <w:sz w:val="20"/>
          <w:szCs w:val="20"/>
        </w:rPr>
        <w:t xml:space="preserve"> </w:t>
      </w:r>
      <w:r w:rsidR="001A75E9" w:rsidRPr="001A75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79645-27-5</w:t>
      </w:r>
    </w:p>
    <w:p w14:paraId="4B8FE3B1" w14:textId="11B5CB00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E064C2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6A1EDDF5" w14:textId="63C79D7F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222B5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E064C2">
                <w:rPr>
                  <w:rFonts w:ascii="Arial" w:hAnsi="Arial" w:cs="Arial"/>
                  <w:sz w:val="20"/>
                  <w:szCs w:val="20"/>
                  <w:vertAlign w:val="subscript"/>
                </w:rPr>
                <w:t>18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E064C2">
                <w:rPr>
                  <w:rFonts w:ascii="Arial" w:hAnsi="Arial" w:cs="Arial"/>
                  <w:sz w:val="20"/>
                  <w:szCs w:val="20"/>
                  <w:vertAlign w:val="subscript"/>
                </w:rPr>
                <w:t>37</w:t>
              </w:r>
              <w:r w:rsidR="00505364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E064C2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r w:rsidR="008A55C4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E064C2">
                <w:rPr>
                  <w:rFonts w:ascii="Arial" w:hAnsi="Arial" w:cs="Arial"/>
                  <w:sz w:val="20"/>
                  <w:szCs w:val="20"/>
                  <w:vertAlign w:val="subscript"/>
                </w:rPr>
                <w:t>9</w:t>
              </w:r>
            </w:sdtContent>
          </w:sdt>
        </w:sdtContent>
      </w:sdt>
    </w:p>
    <w:p w14:paraId="3D35E5FB" w14:textId="1DC94765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505364">
        <w:rPr>
          <w:rFonts w:ascii="Arial" w:hAnsi="Arial" w:cs="Arial"/>
          <w:sz w:val="20"/>
          <w:szCs w:val="20"/>
        </w:rPr>
        <w:t>: powder</w:t>
      </w:r>
    </w:p>
    <w:p w14:paraId="57C4B030" w14:textId="29299CB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35BEC">
            <w:rPr>
              <w:rFonts w:ascii="Arial" w:hAnsi="Arial" w:cs="Arial"/>
              <w:sz w:val="20"/>
              <w:szCs w:val="20"/>
            </w:rPr>
            <w:t>white</w:t>
          </w:r>
          <w:r w:rsidR="007F4CCB">
            <w:rPr>
              <w:rFonts w:ascii="Arial" w:hAnsi="Arial" w:cs="Arial"/>
              <w:sz w:val="20"/>
              <w:szCs w:val="20"/>
            </w:rPr>
            <w:tab/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36345AF" w14:textId="1BD05CE9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50536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sz w:val="20"/>
          <w:szCs w:val="20"/>
        </w:rPr>
        <w:id w:val="-15121886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577893050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3761615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71418495"/>
                  </w:sdtPr>
                  <w:sdtEndPr/>
                  <w:sdtContent>
                    <w:p w14:paraId="064B628F" w14:textId="4AC64476" w:rsidR="00C35BEC" w:rsidRDefault="00C35BEC" w:rsidP="00C35B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E064C2">
                        <w:rPr>
                          <w:rFonts w:ascii="Arial" w:hAnsi="Arial" w:cs="Arial"/>
                          <w:sz w:val="20"/>
                          <w:szCs w:val="20"/>
                        </w:rPr>
                        <w:t>obramycin sulfate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</w:t>
                      </w:r>
                      <w:r w:rsidR="00E064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hazardous in case of skin contact or eye contact, </w:t>
                      </w:r>
                      <w:r w:rsidR="00E064C2" w:rsidRPr="00E064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</w:t>
                      </w:r>
                      <w:r w:rsidR="00E064C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510C3BF" w14:textId="77777777" w:rsidR="00C35BEC" w:rsidRDefault="00C35BEC" w:rsidP="00C35B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Harmful if swallowed, inhaled, or in contact with the skin or eyes. Avoid breathing spray/mist. </w:t>
                      </w:r>
                    </w:p>
                    <w:p w14:paraId="69A29173" w14:textId="16B48714" w:rsidR="006518DF" w:rsidRPr="001A75E9" w:rsidRDefault="001A75E9" w:rsidP="001A75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75E9">
                        <w:rPr>
                          <w:rFonts w:ascii="Arial" w:hAnsi="Arial" w:cs="Arial"/>
                          <w:sz w:val="20"/>
                          <w:szCs w:val="20"/>
                        </w:rPr>
                        <w:t>The substance may be toxic to kidneys, ears. Repeated or prolonged exposure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A75E9">
                        <w:rPr>
                          <w:rFonts w:ascii="Arial" w:hAnsi="Arial" w:cs="Arial"/>
                          <w:sz w:val="20"/>
                          <w:szCs w:val="20"/>
                        </w:rPr>
                        <w:t>to the substance can produce target organs damage.</w:t>
                      </w:r>
                    </w:p>
                  </w:sdtContent>
                </w:sdt>
              </w:sdtContent>
            </w:sdt>
          </w:sdtContent>
        </w:sdt>
      </w:sdtContent>
    </w:sdt>
    <w:p w14:paraId="5883D114" w14:textId="5938EFE8" w:rsidR="004F78A2" w:rsidRPr="006518DF" w:rsidRDefault="004222B5" w:rsidP="00C406D4">
      <w:pPr>
        <w:rPr>
          <w:rFonts w:ascii="Arial" w:hAnsi="Arial" w:cs="Arial"/>
          <w:sz w:val="20"/>
          <w:szCs w:val="20"/>
        </w:rPr>
      </w:pPr>
      <w:r w:rsidRPr="006518DF">
        <w:rPr>
          <w:rFonts w:ascii="Arial" w:hAnsi="Arial" w:cs="Arial"/>
          <w:sz w:val="20"/>
          <w:szCs w:val="20"/>
        </w:rPr>
        <w:t>Has the following toxicity data:</w:t>
      </w:r>
    </w:p>
    <w:p w14:paraId="0577376A" w14:textId="77777777" w:rsidR="001A75E9" w:rsidRDefault="001A75E9" w:rsidP="00C35BE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A75E9">
        <w:rPr>
          <w:rFonts w:ascii="Arial" w:eastAsia="Times New Roman" w:hAnsi="Arial" w:cs="Arial"/>
          <w:color w:val="000000"/>
          <w:sz w:val="20"/>
          <w:szCs w:val="20"/>
        </w:rPr>
        <w:t xml:space="preserve">ORAL (LD50): Acute: 10500 mg/kg [Mouse]. </w:t>
      </w:r>
    </w:p>
    <w:p w14:paraId="4DB798D1" w14:textId="499592EE" w:rsidR="00C406D4" w:rsidRPr="00E8062E" w:rsidRDefault="00C406D4" w:rsidP="00C35BEC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5747E3E" w14:textId="77777777" w:rsidR="00863D9F" w:rsidRPr="003F564F" w:rsidRDefault="00863D9F" w:rsidP="00863D9F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70003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4E700C08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E064C2">
        <w:rPr>
          <w:rFonts w:ascii="Arial" w:hAnsi="Arial" w:cs="Arial"/>
          <w:sz w:val="20"/>
          <w:szCs w:val="20"/>
        </w:rPr>
        <w:t>Tobramycin sulfate</w:t>
      </w:r>
      <w:r w:rsidR="006518DF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0003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0003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0003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0003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0003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0027884" w:rsidR="003F564F" w:rsidRPr="00265CA6" w:rsidRDefault="0070003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70003C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0003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0003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0003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70003C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70003C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3009630B" w:rsidR="00C406D4" w:rsidRPr="00471562" w:rsidRDefault="00352F12" w:rsidP="0050536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A3048B8" w14:textId="77777777" w:rsidR="004D712E" w:rsidRDefault="004D712E" w:rsidP="004D712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9629C40" w14:textId="77777777" w:rsidR="004D712E" w:rsidRPr="00600ABB" w:rsidRDefault="004D712E" w:rsidP="004D712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711222F" w14:textId="77777777" w:rsidR="004D712E" w:rsidRDefault="004D712E" w:rsidP="004D712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759443C" w14:textId="77777777" w:rsidR="004D712E" w:rsidRDefault="004D712E" w:rsidP="004D71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69B7F80" w14:textId="77777777" w:rsidR="004D712E" w:rsidRPr="00C94889" w:rsidRDefault="004D712E" w:rsidP="004D71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67712D7" w14:textId="77777777" w:rsidR="004D712E" w:rsidRDefault="004D712E" w:rsidP="004D712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11A8492" w14:textId="77777777" w:rsidR="004D712E" w:rsidRPr="003F564F" w:rsidRDefault="004D712E" w:rsidP="004D712E">
      <w:pPr>
        <w:pStyle w:val="Heading1"/>
      </w:pPr>
    </w:p>
    <w:p w14:paraId="415C8CF0" w14:textId="77777777" w:rsidR="004D712E" w:rsidRDefault="004D712E" w:rsidP="004D712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169799FF" w14:textId="77777777" w:rsidR="004D712E" w:rsidRPr="00265CA6" w:rsidRDefault="004D712E" w:rsidP="004D712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50FB9810" w14:textId="77777777" w:rsidR="004D712E" w:rsidRDefault="004D712E" w:rsidP="004D712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F058224" w14:textId="77777777" w:rsidR="004D712E" w:rsidRPr="00265CA6" w:rsidRDefault="004D712E" w:rsidP="004D712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59DE68C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18883EB" w14:textId="77777777" w:rsidR="00B20054" w:rsidRPr="00F17523" w:rsidRDefault="00B20054" w:rsidP="00B20054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4466FF59" w14:textId="2237A516" w:rsidR="00B20054" w:rsidRPr="00B20054" w:rsidRDefault="00B2005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47CC6F8" w:rsidR="003F564F" w:rsidRPr="00B20054" w:rsidRDefault="0070003C" w:rsidP="00B2005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B200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7F608008" w14:textId="77777777" w:rsidR="00B20054" w:rsidRPr="00AF1F08" w:rsidRDefault="00B20054" w:rsidP="00B20054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0003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4A4F40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E064C2">
        <w:rPr>
          <w:rFonts w:ascii="Arial" w:hAnsi="Arial" w:cs="Arial"/>
          <w:sz w:val="20"/>
          <w:szCs w:val="20"/>
        </w:rPr>
        <w:t xml:space="preserve">Tobramycin sulfate,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9578B9" w14:textId="77777777" w:rsidR="00A61F83" w:rsidRPr="00514382" w:rsidRDefault="00A61F83" w:rsidP="00A61F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26454A5E" w14:textId="77777777" w:rsidR="00A61F83" w:rsidRPr="00514382" w:rsidRDefault="00A61F83" w:rsidP="00A61F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42C6F9" w14:textId="2A2B0364" w:rsidR="00A61F83" w:rsidRDefault="00A61F83" w:rsidP="00A61F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CD7943B" w14:textId="77777777" w:rsidR="00A61F83" w:rsidRPr="00A61F83" w:rsidRDefault="00A61F83" w:rsidP="00A61F83">
      <w:pPr>
        <w:pStyle w:val="ListParagraph"/>
        <w:rPr>
          <w:rFonts w:ascii="Arial" w:hAnsi="Arial" w:cs="Arial"/>
          <w:sz w:val="20"/>
          <w:szCs w:val="20"/>
        </w:rPr>
      </w:pPr>
    </w:p>
    <w:p w14:paraId="792345AA" w14:textId="77777777" w:rsidR="00A61F83" w:rsidRDefault="00A61F83" w:rsidP="00A61F83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9348E41" w14:textId="77777777" w:rsidR="00A61F83" w:rsidRDefault="00A61F83" w:rsidP="00A61F8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0424B6C" w14:textId="77777777" w:rsidR="00A61F83" w:rsidRDefault="00A61F83" w:rsidP="00A61F83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F2DEED1" w14:textId="0CBCCE8F" w:rsidR="00A61F83" w:rsidRPr="00A61F83" w:rsidRDefault="00A61F83" w:rsidP="00A61F8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7"/>
    </w:p>
    <w:bookmarkEnd w:id="6"/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195B39A7" w:rsidR="00D8294B" w:rsidRPr="00F909E2" w:rsidRDefault="00505364" w:rsidP="00505364">
      <w:pPr>
        <w:tabs>
          <w:tab w:val="left" w:pos="357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B283" w14:textId="77777777" w:rsidR="00136AC5" w:rsidRDefault="00136AC5" w:rsidP="00E83E8B">
      <w:pPr>
        <w:spacing w:after="0" w:line="240" w:lineRule="auto"/>
      </w:pPr>
      <w:r>
        <w:separator/>
      </w:r>
    </w:p>
  </w:endnote>
  <w:endnote w:type="continuationSeparator" w:id="0">
    <w:p w14:paraId="7742A0A0" w14:textId="77777777" w:rsidR="00136AC5" w:rsidRDefault="00136AC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7CFEB" w14:textId="77777777" w:rsidR="00B02ED4" w:rsidRDefault="00B02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1D84EC1" w:rsidR="001A75E9" w:rsidRDefault="00E064C2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20"/>
        <w:szCs w:val="20"/>
      </w:rPr>
      <w:t>Tobramycin sulfate</w:t>
    </w:r>
    <w:r w:rsidR="001A75E9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75E9" w:rsidRPr="00F909E2">
          <w:rPr>
            <w:rFonts w:ascii="Arial" w:hAnsi="Arial" w:cs="Arial"/>
            <w:sz w:val="18"/>
            <w:szCs w:val="18"/>
          </w:rPr>
          <w:tab/>
        </w:r>
        <w:r w:rsidR="004B051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B051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B051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B051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0003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B051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B051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4B051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B051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B051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0003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B051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A75E9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B051F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1A75E9" w:rsidRDefault="001A75E9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D2B6A82" w:rsidR="001A75E9" w:rsidRPr="004B051F" w:rsidRDefault="00B02ED4" w:rsidP="00B02ED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CDA1" w14:textId="77777777" w:rsidR="00B02ED4" w:rsidRDefault="00B02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D1E70" w14:textId="77777777" w:rsidR="00136AC5" w:rsidRDefault="00136AC5" w:rsidP="00E83E8B">
      <w:pPr>
        <w:spacing w:after="0" w:line="240" w:lineRule="auto"/>
      </w:pPr>
      <w:r>
        <w:separator/>
      </w:r>
    </w:p>
  </w:footnote>
  <w:footnote w:type="continuationSeparator" w:id="0">
    <w:p w14:paraId="4142E7C8" w14:textId="77777777" w:rsidR="00136AC5" w:rsidRDefault="00136AC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3A67" w14:textId="77777777" w:rsidR="00B02ED4" w:rsidRDefault="00B02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16252EF" w:rsidR="001A75E9" w:rsidRDefault="004B05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9CC915" wp14:editId="0952DA6B">
          <wp:simplePos x="0" y="0"/>
          <wp:positionH relativeFrom="page">
            <wp:posOffset>510639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E9">
      <w:ptab w:relativeTo="indent" w:alignment="left" w:leader="none"/>
    </w:r>
    <w:r w:rsidR="001A75E9">
      <w:ptab w:relativeTo="margin" w:alignment="left" w:leader="none"/>
    </w:r>
  </w:p>
  <w:p w14:paraId="1028E2C3" w14:textId="3B464217" w:rsidR="001A75E9" w:rsidRDefault="001A75E9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3DE0" w14:textId="77777777" w:rsidR="00B02ED4" w:rsidRDefault="00B02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95891"/>
    <w:rsid w:val="000B6958"/>
    <w:rsid w:val="000D5EF1"/>
    <w:rsid w:val="000D7A20"/>
    <w:rsid w:val="000F5131"/>
    <w:rsid w:val="00120D9A"/>
    <w:rsid w:val="00123F22"/>
    <w:rsid w:val="00136AC5"/>
    <w:rsid w:val="001932B2"/>
    <w:rsid w:val="00195E6B"/>
    <w:rsid w:val="001A75E9"/>
    <w:rsid w:val="001C51C3"/>
    <w:rsid w:val="001D0366"/>
    <w:rsid w:val="001D7AD9"/>
    <w:rsid w:val="00242D35"/>
    <w:rsid w:val="00253494"/>
    <w:rsid w:val="00263ED1"/>
    <w:rsid w:val="00265CA6"/>
    <w:rsid w:val="00293660"/>
    <w:rsid w:val="002A11BF"/>
    <w:rsid w:val="002E0D97"/>
    <w:rsid w:val="00300725"/>
    <w:rsid w:val="00300BE3"/>
    <w:rsid w:val="00315CB3"/>
    <w:rsid w:val="00352F12"/>
    <w:rsid w:val="00366414"/>
    <w:rsid w:val="00366DA6"/>
    <w:rsid w:val="003904D4"/>
    <w:rsid w:val="00390F61"/>
    <w:rsid w:val="003950E9"/>
    <w:rsid w:val="003F564F"/>
    <w:rsid w:val="004222B5"/>
    <w:rsid w:val="00426401"/>
    <w:rsid w:val="00427421"/>
    <w:rsid w:val="004471D0"/>
    <w:rsid w:val="00452088"/>
    <w:rsid w:val="00471562"/>
    <w:rsid w:val="004929A2"/>
    <w:rsid w:val="004A5EA5"/>
    <w:rsid w:val="004B051F"/>
    <w:rsid w:val="004D712E"/>
    <w:rsid w:val="004F78A2"/>
    <w:rsid w:val="00505364"/>
    <w:rsid w:val="00507560"/>
    <w:rsid w:val="0052121D"/>
    <w:rsid w:val="00530E90"/>
    <w:rsid w:val="00544168"/>
    <w:rsid w:val="005643E6"/>
    <w:rsid w:val="006111B5"/>
    <w:rsid w:val="00637757"/>
    <w:rsid w:val="006518DF"/>
    <w:rsid w:val="00657ED6"/>
    <w:rsid w:val="00672441"/>
    <w:rsid w:val="00693D76"/>
    <w:rsid w:val="0070003C"/>
    <w:rsid w:val="007268C5"/>
    <w:rsid w:val="00734BB8"/>
    <w:rsid w:val="00786224"/>
    <w:rsid w:val="00787432"/>
    <w:rsid w:val="007D58BC"/>
    <w:rsid w:val="007E5FE7"/>
    <w:rsid w:val="007F4CCB"/>
    <w:rsid w:val="00803871"/>
    <w:rsid w:val="00827148"/>
    <w:rsid w:val="00837AFC"/>
    <w:rsid w:val="0084116F"/>
    <w:rsid w:val="00850978"/>
    <w:rsid w:val="00863D9F"/>
    <w:rsid w:val="00866AE7"/>
    <w:rsid w:val="008763CA"/>
    <w:rsid w:val="00891D4B"/>
    <w:rsid w:val="008A2498"/>
    <w:rsid w:val="008A55C4"/>
    <w:rsid w:val="008C4AEC"/>
    <w:rsid w:val="008C4B9E"/>
    <w:rsid w:val="008F73D6"/>
    <w:rsid w:val="00917F75"/>
    <w:rsid w:val="00936C3C"/>
    <w:rsid w:val="009452B5"/>
    <w:rsid w:val="00952B71"/>
    <w:rsid w:val="009626FF"/>
    <w:rsid w:val="0097286F"/>
    <w:rsid w:val="00972CE1"/>
    <w:rsid w:val="009846D5"/>
    <w:rsid w:val="00987262"/>
    <w:rsid w:val="009C7107"/>
    <w:rsid w:val="009D370A"/>
    <w:rsid w:val="009D704C"/>
    <w:rsid w:val="009F5503"/>
    <w:rsid w:val="00A119D1"/>
    <w:rsid w:val="00A52E06"/>
    <w:rsid w:val="00A61F83"/>
    <w:rsid w:val="00A874A1"/>
    <w:rsid w:val="00AF2415"/>
    <w:rsid w:val="00B02ED4"/>
    <w:rsid w:val="00B045FB"/>
    <w:rsid w:val="00B20054"/>
    <w:rsid w:val="00B4188D"/>
    <w:rsid w:val="00B50CCA"/>
    <w:rsid w:val="00B6326D"/>
    <w:rsid w:val="00C060FA"/>
    <w:rsid w:val="00C266E8"/>
    <w:rsid w:val="00C35BEC"/>
    <w:rsid w:val="00C406D4"/>
    <w:rsid w:val="00CD010E"/>
    <w:rsid w:val="00CE1AAD"/>
    <w:rsid w:val="00D00746"/>
    <w:rsid w:val="00D20AE0"/>
    <w:rsid w:val="00D479EA"/>
    <w:rsid w:val="00D61C24"/>
    <w:rsid w:val="00D8294B"/>
    <w:rsid w:val="00DA21D9"/>
    <w:rsid w:val="00DB70FD"/>
    <w:rsid w:val="00DC39EF"/>
    <w:rsid w:val="00DF321C"/>
    <w:rsid w:val="00E064C2"/>
    <w:rsid w:val="00E10CA5"/>
    <w:rsid w:val="00E167E8"/>
    <w:rsid w:val="00E706C6"/>
    <w:rsid w:val="00E8062E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0802C6BE-6415-454F-A89A-C04A3148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82875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6DF4-7997-4A2F-A67D-FC304CE2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2017-11-09T19:35:00Z</dcterms:created>
  <dcterms:modified xsi:type="dcterms:W3CDTF">2017-11-09T19:35:00Z</dcterms:modified>
</cp:coreProperties>
</file>