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0D2DBE99" w:rsidR="00F909E2" w:rsidRPr="00FA1ACB" w:rsidRDefault="007E3641" w:rsidP="00FB4DD8">
      <w:pPr>
        <w:jc w:val="center"/>
        <w:rPr>
          <w:rFonts w:ascii="Arial" w:hAnsi="Arial" w:cs="Arial"/>
          <w:sz w:val="5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56"/>
            <w:szCs w:val="36"/>
          </w:rPr>
        </w:sdtEndPr>
        <w:sdtContent>
          <w:r w:rsidR="00255AA3">
            <w:rPr>
              <w:rFonts w:ascii="Arial" w:eastAsia="Times New Roman" w:hAnsi="Arial" w:cs="Arial"/>
              <w:color w:val="222222"/>
              <w:sz w:val="32"/>
              <w:szCs w:val="19"/>
              <w:shd w:val="clear" w:color="auto" w:fill="FFFFFF"/>
            </w:rPr>
            <w:t>Titanium Dioxide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182115824"/>
          </w:sdtPr>
          <w:sdtEndPr/>
          <w:sdtContent>
            <w:p w14:paraId="59339903" w14:textId="7CD377F2" w:rsidR="00255AA3" w:rsidRDefault="00255AA3" w:rsidP="00255AA3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Titanium dioxide may cause mild </w:t>
              </w:r>
              <w:r w:rsidRPr="00255AA3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irritation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and redness with skin contact or eye contact. Chronic exposure or high amounts of dust may result in lung scarring. </w:t>
              </w:r>
            </w:p>
            <w:p w14:paraId="2B81FF61" w14:textId="4C63E3B2" w:rsidR="00255AA3" w:rsidRDefault="00255AA3" w:rsidP="00255AA3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May cause gastrointestinal tract irritation if swallowed with nausea, vomiting, and diarrhea.</w:t>
              </w:r>
            </w:p>
            <w:p w14:paraId="3B69EDEA" w14:textId="77777777" w:rsidR="00255AA3" w:rsidRDefault="00255AA3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May be harmful if inhaled, swallowed, or absorbed through skin.</w:t>
              </w:r>
            </w:p>
            <w:p w14:paraId="1738753F" w14:textId="58F10C52" w:rsidR="00095891" w:rsidRPr="00255AA3" w:rsidRDefault="00255AA3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Titanium dioxide has a wide range of uses from paint, to pigment, to sunscreen.  It is found in almost every sunscreen because of its strong UV light absorbing properties. </w:t>
              </w:r>
            </w:p>
          </w:sdtContent>
        </w:sdt>
      </w:sdtContent>
    </w:sdt>
    <w:p w14:paraId="3E77804B" w14:textId="77777777" w:rsidR="00255AA3" w:rsidRDefault="00255AA3" w:rsidP="00C406D4">
      <w:pPr>
        <w:rPr>
          <w:rFonts w:ascii="Arial" w:hAnsi="Arial" w:cs="Arial"/>
          <w:b/>
          <w:sz w:val="24"/>
          <w:szCs w:val="24"/>
        </w:rPr>
      </w:pPr>
    </w:p>
    <w:p w14:paraId="09819571" w14:textId="77777777" w:rsidR="00255AA3" w:rsidRDefault="00255AA3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22F3E6A8" w:rsidR="00D61C24" w:rsidRPr="008C4B9E" w:rsidRDefault="00D8294B" w:rsidP="00352F1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255AA3">
        <w:rPr>
          <w:rFonts w:ascii="Arial" w:hAnsi="Arial" w:cs="Arial"/>
          <w:sz w:val="20"/>
          <w:szCs w:val="20"/>
        </w:rPr>
        <w:t>13463-67-7</w:t>
      </w:r>
    </w:p>
    <w:p w14:paraId="4B8FE3B1" w14:textId="4F1DEF72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95891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6A1EDDF5" w14:textId="4D5D9893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255AA3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0D7A20" w:rsidRPr="000D7A2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255AA3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Ti</w:t>
              </w:r>
            </w:sdtContent>
          </w:sdt>
        </w:sdtContent>
      </w:sdt>
    </w:p>
    <w:p w14:paraId="3D35E5FB" w14:textId="408EAD4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FA1ACB">
        <w:rPr>
          <w:rFonts w:ascii="Arial" w:hAnsi="Arial" w:cs="Arial"/>
          <w:sz w:val="20"/>
          <w:szCs w:val="20"/>
        </w:rPr>
        <w:t>solid</w:t>
      </w:r>
      <w:r w:rsidR="000D7A20">
        <w:rPr>
          <w:rFonts w:ascii="Arial" w:hAnsi="Arial" w:cs="Arial"/>
          <w:sz w:val="20"/>
          <w:szCs w:val="20"/>
        </w:rPr>
        <w:t xml:space="preserve"> powder</w:t>
      </w:r>
    </w:p>
    <w:p w14:paraId="57C4B030" w14:textId="79B05D03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55AA3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736345AF" w14:textId="11EF7268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255AA3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2500-3000</w:t>
      </w:r>
      <w:r w:rsidR="00095891" w:rsidRPr="0009589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°C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4893FB4" w14:textId="03226458" w:rsidR="004471D0" w:rsidRDefault="00255AA3" w:rsidP="00255AA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Titanium dioxide may cause mild </w:t>
                      </w:r>
                      <w:r w:rsidRPr="00255AA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irritation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and redness with skin contact or eye contact. Chronic exposure to dust may result in lung scarring. Possible </w:t>
                      </w:r>
                      <w:r w:rsidRPr="00255AA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carcinogen.</w:t>
                      </w:r>
                    </w:p>
                    <w:p w14:paraId="5CB959D1" w14:textId="5E8E59C0" w:rsidR="00987262" w:rsidRPr="004471D0" w:rsidRDefault="00255AA3" w:rsidP="00255AA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May cause gastrointestinal tract irritation with nausea, vomiting, and diarrhea.</w:t>
                      </w:r>
                    </w:p>
                  </w:sdtContent>
                </w:sdt>
              </w:sdtContent>
            </w:sdt>
          </w:sdtContent>
        </w:sdt>
      </w:sdtContent>
    </w:sdt>
    <w:p w14:paraId="51F8523B" w14:textId="6AB037ED" w:rsidR="00255AA3" w:rsidRPr="00484F6B" w:rsidRDefault="000D7A20" w:rsidP="00C406D4">
      <w:pPr>
        <w:rPr>
          <w:rFonts w:ascii="Arial" w:eastAsia="Times New Roman" w:hAnsi="Arial" w:cs="Arial"/>
          <w:sz w:val="20"/>
          <w:szCs w:val="20"/>
        </w:rPr>
      </w:pPr>
      <w:r w:rsidRPr="000D7A20">
        <w:rPr>
          <w:rFonts w:ascii="Arial" w:hAnsi="Arial" w:cs="Arial"/>
          <w:sz w:val="20"/>
          <w:szCs w:val="20"/>
        </w:rPr>
        <w:t xml:space="preserve">Has a permissible exposure limit of </w:t>
      </w:r>
      <w:r w:rsidR="00255A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TWA 15 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mg/m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[</w:t>
      </w:r>
      <w:proofErr w:type="gramStart"/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skin].</w:t>
      </w:r>
      <w:proofErr w:type="gramEnd"/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6EE81F8" w14:textId="77777777" w:rsidR="00484F6B" w:rsidRPr="003F564F" w:rsidRDefault="00484F6B" w:rsidP="00484F6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7E364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48166480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255AA3">
        <w:rPr>
          <w:rFonts w:ascii="Arial" w:eastAsia="Times New Roman" w:hAnsi="Arial" w:cs="Arial"/>
          <w:sz w:val="20"/>
          <w:szCs w:val="20"/>
          <w:shd w:val="clear" w:color="auto" w:fill="FFFFFF"/>
        </w:rPr>
        <w:t>Titanium dioxide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E36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E36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E36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E36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E364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FE701EF" w:rsidR="003F564F" w:rsidRPr="00265CA6" w:rsidRDefault="007E364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7E364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E364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E364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E364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657A26C" w14:textId="77777777" w:rsidR="00B236F7" w:rsidRDefault="00B236F7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6016D0DD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7E3641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33CEB22C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352F12">
                <w:rPr>
                  <w:rFonts w:ascii="Arial" w:hAnsi="Arial" w:cs="Arial"/>
                  <w:sz w:val="20"/>
                  <w:szCs w:val="20"/>
                </w:rPr>
                <w:t>Flammable materials should be stored in a separate s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afety storage cabinet or room.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AF8064A" w14:textId="77777777" w:rsidR="00FD3A80" w:rsidRDefault="00FD3A80" w:rsidP="00FD3A8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8161A9B" w14:textId="77777777" w:rsidR="00FD3A80" w:rsidRPr="00600ABB" w:rsidRDefault="00FD3A80" w:rsidP="00FD3A8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30757FE" w14:textId="77777777" w:rsidR="00FD3A80" w:rsidRDefault="00FD3A80" w:rsidP="00FD3A8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BC78124" w14:textId="77777777" w:rsidR="00FD3A80" w:rsidRDefault="00FD3A80" w:rsidP="00FD3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FB22211" w14:textId="77777777" w:rsidR="00FD3A80" w:rsidRPr="00C94889" w:rsidRDefault="00FD3A80" w:rsidP="00FD3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FD18D70" w14:textId="77777777" w:rsidR="00FD3A80" w:rsidRDefault="00FD3A80" w:rsidP="00FD3A8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52BE26B" w14:textId="77777777" w:rsidR="00FD3A80" w:rsidRPr="003F564F" w:rsidRDefault="00FD3A80" w:rsidP="00FD3A80">
      <w:pPr>
        <w:pStyle w:val="Heading1"/>
      </w:pPr>
    </w:p>
    <w:p w14:paraId="5F9A0FD1" w14:textId="00994AD6" w:rsidR="00FD3A80" w:rsidRDefault="00FD3A80" w:rsidP="00FD3A8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B236F7">
        <w:rPr>
          <w:rFonts w:ascii="Arial" w:hAnsi="Arial" w:cs="Arial"/>
          <w:sz w:val="20"/>
          <w:szCs w:val="20"/>
        </w:rPr>
        <w:t>al and Laboratory Safety Manual.</w:t>
      </w:r>
    </w:p>
    <w:p w14:paraId="345DA2D0" w14:textId="77777777" w:rsidR="00FD3A80" w:rsidRPr="00265CA6" w:rsidRDefault="00FD3A80" w:rsidP="00FD3A8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73BCFE5" w14:textId="77777777" w:rsidR="00FD3A80" w:rsidRDefault="00FD3A80" w:rsidP="00FD3A8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CA33EDD" w14:textId="77777777" w:rsidR="00FD3A80" w:rsidRPr="00265CA6" w:rsidRDefault="00FD3A80" w:rsidP="00FD3A8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943BAE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B11BDD8" w14:textId="77777777" w:rsidR="00FD3A80" w:rsidRPr="00F17523" w:rsidRDefault="00FD3A80" w:rsidP="00FD3A8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6672CEE" w14:textId="58DDE98F" w:rsidR="00FD3A80" w:rsidRPr="00FD3A80" w:rsidRDefault="00FD3A8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2F2D19E" w:rsidR="003F564F" w:rsidRPr="00FD3A80" w:rsidRDefault="007E3641" w:rsidP="00FD3A8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hazardous </w:t>
                      </w:r>
                      <w:r w:rsidR="00FD3A80">
                        <w:rPr>
                          <w:rFonts w:ascii="Arial" w:hAnsi="Arial" w:cs="Arial"/>
                          <w:sz w:val="20"/>
                          <w:szCs w:val="20"/>
                        </w:rPr>
                        <w:t>waste.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92878A1" w14:textId="77777777" w:rsidR="007E3641" w:rsidRPr="00AF1F08" w:rsidRDefault="007E3641" w:rsidP="007E3641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E364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3A3C77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255AA3">
        <w:rPr>
          <w:rFonts w:ascii="Arial" w:eastAsia="Times New Roman" w:hAnsi="Arial" w:cs="Arial"/>
          <w:sz w:val="20"/>
          <w:szCs w:val="20"/>
          <w:shd w:val="clear" w:color="auto" w:fill="FFFFFF"/>
        </w:rPr>
        <w:t>Titanium dioxide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5D75AB" w14:textId="77777777" w:rsidR="00783F1E" w:rsidRPr="00514382" w:rsidRDefault="00783F1E" w:rsidP="00783F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977BEF0" w14:textId="77777777" w:rsidR="00783F1E" w:rsidRPr="00514382" w:rsidRDefault="00783F1E" w:rsidP="00783F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508A2" w14:textId="77777777" w:rsidR="00783F1E" w:rsidRPr="00514382" w:rsidRDefault="00783F1E" w:rsidP="00783F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170282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EB17310" w14:textId="77777777" w:rsidR="00B236F7" w:rsidRDefault="00B236F7" w:rsidP="00B236F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897EFF2" w14:textId="77777777" w:rsidR="00B236F7" w:rsidRDefault="00B236F7" w:rsidP="00B236F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7DD0D87" w14:textId="77777777" w:rsidR="00B236F7" w:rsidRDefault="00B236F7" w:rsidP="00B236F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2D7CDA2" w14:textId="77777777" w:rsidR="00B236F7" w:rsidRDefault="00B236F7" w:rsidP="00C406D4">
      <w:pPr>
        <w:rPr>
          <w:rFonts w:ascii="Arial" w:hAnsi="Arial" w:cs="Arial"/>
          <w:sz w:val="20"/>
          <w:szCs w:val="20"/>
        </w:rPr>
      </w:pPr>
    </w:p>
    <w:p w14:paraId="40187145" w14:textId="2AF562B0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01C7F" w14:textId="77777777" w:rsidR="00EF77D0" w:rsidRDefault="00EF77D0" w:rsidP="00E83E8B">
      <w:pPr>
        <w:spacing w:after="0" w:line="240" w:lineRule="auto"/>
      </w:pPr>
      <w:r>
        <w:separator/>
      </w:r>
    </w:p>
  </w:endnote>
  <w:endnote w:type="continuationSeparator" w:id="0">
    <w:p w14:paraId="568844BE" w14:textId="77777777" w:rsidR="00EF77D0" w:rsidRDefault="00EF77D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A5CB2D5" w:rsidR="00095891" w:rsidRDefault="007E364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55AA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Titanium dioxide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91" w:rsidRPr="00F909E2">
          <w:rPr>
            <w:rFonts w:ascii="Arial" w:hAnsi="Arial" w:cs="Arial"/>
            <w:sz w:val="18"/>
            <w:szCs w:val="18"/>
          </w:rPr>
          <w:tab/>
        </w:r>
        <w:r w:rsidR="00095891" w:rsidRPr="00F909E2">
          <w:rPr>
            <w:rFonts w:ascii="Arial" w:hAnsi="Arial" w:cs="Arial"/>
            <w:sz w:val="18"/>
            <w:szCs w:val="18"/>
          </w:rPr>
          <w:fldChar w:fldCharType="begin"/>
        </w:r>
        <w:r w:rsidR="00095891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095891" w:rsidRPr="00F909E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6</w:t>
        </w:r>
        <w:r w:rsidR="00095891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09589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27568">
              <w:rPr>
                <w:rFonts w:ascii="Arial" w:hAnsi="Arial" w:cs="Arial"/>
                <w:noProof/>
                <w:sz w:val="18"/>
                <w:szCs w:val="18"/>
              </w:rPr>
              <w:t>8/22/2017</w:t>
            </w:r>
          </w:sdtContent>
        </w:sdt>
      </w:sdtContent>
    </w:sdt>
  </w:p>
  <w:p w14:paraId="78299C41" w14:textId="77777777" w:rsidR="00095891" w:rsidRDefault="00095891">
    <w:pPr>
      <w:pStyle w:val="Footer"/>
      <w:rPr>
        <w:rFonts w:ascii="Arial" w:hAnsi="Arial" w:cs="Arial"/>
        <w:noProof/>
        <w:sz w:val="18"/>
        <w:szCs w:val="18"/>
      </w:rPr>
    </w:pPr>
  </w:p>
  <w:p w14:paraId="4953E472" w14:textId="6020FA1E" w:rsidR="00127568" w:rsidRPr="007E3641" w:rsidRDefault="007E3641" w:rsidP="007E364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A446C" w14:textId="77777777" w:rsidR="00EF77D0" w:rsidRDefault="00EF77D0" w:rsidP="00E83E8B">
      <w:pPr>
        <w:spacing w:after="0" w:line="240" w:lineRule="auto"/>
      </w:pPr>
      <w:r>
        <w:separator/>
      </w:r>
    </w:p>
  </w:footnote>
  <w:footnote w:type="continuationSeparator" w:id="0">
    <w:p w14:paraId="17A2C493" w14:textId="77777777" w:rsidR="00EF77D0" w:rsidRDefault="00EF77D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13385BC" w:rsidR="00095891" w:rsidRDefault="007E36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E4D78" wp14:editId="23BDFE87">
          <wp:simplePos x="0" y="0"/>
          <wp:positionH relativeFrom="page">
            <wp:posOffset>510639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91">
      <w:ptab w:relativeTo="indent" w:alignment="left" w:leader="none"/>
    </w:r>
    <w:r w:rsidR="00095891">
      <w:ptab w:relativeTo="margin" w:alignment="left" w:leader="none"/>
    </w:r>
  </w:p>
  <w:p w14:paraId="1028E2C3" w14:textId="2C59EF66" w:rsidR="00095891" w:rsidRDefault="0009589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B6958"/>
    <w:rsid w:val="000C0CD3"/>
    <w:rsid w:val="000D5EF1"/>
    <w:rsid w:val="000D7A20"/>
    <w:rsid w:val="000F5131"/>
    <w:rsid w:val="00120D9A"/>
    <w:rsid w:val="00127568"/>
    <w:rsid w:val="001932B2"/>
    <w:rsid w:val="001C51C3"/>
    <w:rsid w:val="001D0366"/>
    <w:rsid w:val="00242D35"/>
    <w:rsid w:val="00253494"/>
    <w:rsid w:val="00255AA3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F564F"/>
    <w:rsid w:val="00426401"/>
    <w:rsid w:val="00427421"/>
    <w:rsid w:val="004471D0"/>
    <w:rsid w:val="00452088"/>
    <w:rsid w:val="00471562"/>
    <w:rsid w:val="00484F6B"/>
    <w:rsid w:val="004929A2"/>
    <w:rsid w:val="004A5EA5"/>
    <w:rsid w:val="00507560"/>
    <w:rsid w:val="0052121D"/>
    <w:rsid w:val="00530E90"/>
    <w:rsid w:val="005643E6"/>
    <w:rsid w:val="00637757"/>
    <w:rsid w:val="00657ED6"/>
    <w:rsid w:val="00672441"/>
    <w:rsid w:val="00693D76"/>
    <w:rsid w:val="006F1927"/>
    <w:rsid w:val="007268C5"/>
    <w:rsid w:val="00734BB8"/>
    <w:rsid w:val="00783F1E"/>
    <w:rsid w:val="00787432"/>
    <w:rsid w:val="007D58BC"/>
    <w:rsid w:val="007E3641"/>
    <w:rsid w:val="007E5FE7"/>
    <w:rsid w:val="007F4CCB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A6B13"/>
    <w:rsid w:val="009D370A"/>
    <w:rsid w:val="009D704C"/>
    <w:rsid w:val="009F5503"/>
    <w:rsid w:val="00A119D1"/>
    <w:rsid w:val="00A52E06"/>
    <w:rsid w:val="00A874A1"/>
    <w:rsid w:val="00AF2415"/>
    <w:rsid w:val="00B236F7"/>
    <w:rsid w:val="00B4188D"/>
    <w:rsid w:val="00B50CCA"/>
    <w:rsid w:val="00B6326D"/>
    <w:rsid w:val="00C060FA"/>
    <w:rsid w:val="00C11529"/>
    <w:rsid w:val="00C266E8"/>
    <w:rsid w:val="00C406D4"/>
    <w:rsid w:val="00CD010E"/>
    <w:rsid w:val="00D00746"/>
    <w:rsid w:val="00D479EA"/>
    <w:rsid w:val="00D61C24"/>
    <w:rsid w:val="00D8294B"/>
    <w:rsid w:val="00DA21D9"/>
    <w:rsid w:val="00DB70FD"/>
    <w:rsid w:val="00DC39EF"/>
    <w:rsid w:val="00E10CA5"/>
    <w:rsid w:val="00E706C6"/>
    <w:rsid w:val="00E83E8B"/>
    <w:rsid w:val="00E842B3"/>
    <w:rsid w:val="00EF77D0"/>
    <w:rsid w:val="00F212B5"/>
    <w:rsid w:val="00F909E2"/>
    <w:rsid w:val="00F95DC2"/>
    <w:rsid w:val="00F96647"/>
    <w:rsid w:val="00FA1ACB"/>
    <w:rsid w:val="00FB2D9F"/>
    <w:rsid w:val="00FB4DD8"/>
    <w:rsid w:val="00FD3A80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652BAF3D-5BE1-408E-8BD2-B34963FF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161AD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19CC-F246-4736-BC5E-66DC31B4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2017-08-11T17:11:00Z</dcterms:created>
  <dcterms:modified xsi:type="dcterms:W3CDTF">2017-10-06T00:06:00Z</dcterms:modified>
</cp:coreProperties>
</file>