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574BC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FD542D" w:rsidRPr="00AD0D51">
            <w:rPr>
              <w:rFonts w:ascii="Arial" w:hAnsi="Arial" w:cs="Arial"/>
              <w:sz w:val="36"/>
              <w:szCs w:val="36"/>
            </w:rPr>
            <w:t>Sulfur trioxide pyridine complex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AD0D51" w:rsidRPr="00F909E2" w:rsidTr="009876DE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D51" w:rsidRPr="00803871" w:rsidRDefault="00AD0D51" w:rsidP="00987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B5A68C83776949E3BB0674CDC1059F4C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AD0D51" w:rsidRPr="00803871" w:rsidRDefault="00AD0D51" w:rsidP="009876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D0D51" w:rsidRPr="00F909E2" w:rsidTr="009876D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D51" w:rsidRPr="00803871" w:rsidRDefault="00AD0D51" w:rsidP="00987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9216499CB485402FABB913E425BF62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D0D51" w:rsidRPr="00803871" w:rsidRDefault="00AD0D51" w:rsidP="009876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AD0D51" w:rsidRPr="00F909E2" w:rsidTr="009876D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D51" w:rsidRPr="00803871" w:rsidRDefault="00AD0D51" w:rsidP="009876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3473BA19B4AB41308B5B8137B439D6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D0D51" w:rsidRPr="00803871" w:rsidRDefault="00AD0D51" w:rsidP="009876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AD0D51" w:rsidRPr="00F909E2" w:rsidTr="009876D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D51" w:rsidRPr="00803871" w:rsidRDefault="00AD0D51" w:rsidP="00987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613D04B030484D52BC5B2D802F2286DA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D0D51" w:rsidRPr="00803871" w:rsidRDefault="00AD0D51" w:rsidP="009876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D0D51" w:rsidRPr="00F909E2" w:rsidTr="009876D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D51" w:rsidRPr="00803871" w:rsidRDefault="00AD0D51" w:rsidP="00987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C87032A6B4574068AA16BE9ED450CCF3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D0D51" w:rsidRPr="00803871" w:rsidRDefault="00AD0D51" w:rsidP="009876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D0D51" w:rsidRPr="00F909E2" w:rsidTr="009876D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D51" w:rsidRPr="00803871" w:rsidRDefault="00AD0D51" w:rsidP="00987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368FEDEAF0D046099B1C4C274D4F6D88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D0D51" w:rsidRPr="00803871" w:rsidRDefault="00AD0D51" w:rsidP="009876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D0D51" w:rsidRPr="00F909E2" w:rsidTr="009876D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D51" w:rsidRPr="00803871" w:rsidRDefault="00AD0D51" w:rsidP="00987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272F743A374B4C9CAFE7BA8716310153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D0D51" w:rsidRPr="00803871" w:rsidRDefault="00AD0D51" w:rsidP="009876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D0D51" w:rsidRPr="00F909E2" w:rsidTr="009876DE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D51" w:rsidRPr="00803871" w:rsidRDefault="00AD0D51" w:rsidP="00987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950C9FF5DD824155853A7719FFFF095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D0D51" w:rsidRPr="00803871" w:rsidRDefault="00AD0D51" w:rsidP="009876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D0D51" w:rsidRPr="00F909E2" w:rsidTr="009876DE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D51" w:rsidRPr="00803871" w:rsidRDefault="00AD0D51" w:rsidP="009876D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AD0D51" w:rsidRPr="00F909E2" w:rsidRDefault="00AD0D51" w:rsidP="009876D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AD0D51" w:rsidRPr="00F909E2" w:rsidTr="009876DE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D51" w:rsidRPr="00803871" w:rsidRDefault="00AD0D51" w:rsidP="009876D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338B7E7BE8F74D758E0948399D327E00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D0D51" w:rsidRPr="00803871" w:rsidRDefault="00AD0D51" w:rsidP="009876DE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D0D51" w:rsidRPr="00F909E2" w:rsidTr="009876DE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0D51" w:rsidRPr="00F909E2" w:rsidRDefault="00AD0D51" w:rsidP="009876D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AD0D51" w:rsidRPr="00F909E2" w:rsidRDefault="00AD0D51" w:rsidP="009876D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3DD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574BC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514430748"/>
            </w:sdtPr>
            <w:sdtEndPr/>
            <w:sdtContent>
              <w:r w:rsidR="00DE58AE" w:rsidRPr="00DE58AE">
                <w:rPr>
                  <w:b/>
                  <w:bCs/>
                </w:rPr>
                <w:t>Sulfur trioxide pyridine complex</w:t>
              </w:r>
              <w:r w:rsidR="00DE58AE" w:rsidRPr="00DE58AE">
                <w:t xml:space="preserve"> is the compound with the formula C</w:t>
              </w:r>
              <w:r w:rsidR="00DE58AE" w:rsidRPr="00DE58AE">
                <w:rPr>
                  <w:vertAlign w:val="subscript"/>
                </w:rPr>
                <w:t>5</w:t>
              </w:r>
              <w:r w:rsidR="00DE58AE" w:rsidRPr="00DE58AE">
                <w:t>H</w:t>
              </w:r>
              <w:r w:rsidR="00DE58AE" w:rsidRPr="00DE58AE">
                <w:rPr>
                  <w:vertAlign w:val="subscript"/>
                </w:rPr>
                <w:t>5</w:t>
              </w:r>
              <w:r w:rsidR="00DE58AE" w:rsidRPr="00DE58AE">
                <w:t>NSO</w:t>
              </w:r>
              <w:r w:rsidR="00DE58AE" w:rsidRPr="00DE58AE">
                <w:rPr>
                  <w:vertAlign w:val="subscript"/>
                </w:rPr>
                <w:t>3</w:t>
              </w:r>
              <w:r w:rsidR="00DE58AE" w:rsidRPr="00DE58AE">
                <w:t xml:space="preserve">. It is a </w:t>
              </w:r>
              <w:proofErr w:type="spellStart"/>
              <w:r w:rsidR="00DE58AE" w:rsidRPr="00DE58AE">
                <w:t>colourless</w:t>
              </w:r>
              <w:proofErr w:type="spellEnd"/>
              <w:r w:rsidR="00DE58AE" w:rsidRPr="00DE58AE">
                <w:t xml:space="preserve"> solid that dissolves in polar organic solvents. It is the </w:t>
              </w:r>
              <w:hyperlink r:id="rId8" w:tooltip="Adduct" w:history="1">
                <w:r w:rsidR="00DE58AE" w:rsidRPr="00DE58AE">
                  <w:rPr>
                    <w:rStyle w:val="Hyperlink"/>
                    <w:color w:val="auto"/>
                    <w:u w:val="none"/>
                  </w:rPr>
                  <w:t>adduct</w:t>
                </w:r>
              </w:hyperlink>
              <w:r w:rsidR="00DE58AE" w:rsidRPr="00DE58AE">
                <w:t xml:space="preserve"> formed from the </w:t>
              </w:r>
              <w:hyperlink r:id="rId9" w:tooltip="Lewis base" w:history="1">
                <w:r w:rsidR="00DE58AE" w:rsidRPr="00DE58AE">
                  <w:rPr>
                    <w:rStyle w:val="Hyperlink"/>
                    <w:color w:val="auto"/>
                    <w:u w:val="none"/>
                  </w:rPr>
                  <w:t>Lewis base</w:t>
                </w:r>
              </w:hyperlink>
              <w:r w:rsidR="00DE58AE" w:rsidRPr="00DE58AE">
                <w:t xml:space="preserve"> </w:t>
              </w:r>
              <w:hyperlink r:id="rId10" w:tooltip="Pyridine" w:history="1">
                <w:r w:rsidR="00DE58AE" w:rsidRPr="00DE58AE">
                  <w:rPr>
                    <w:rStyle w:val="Hyperlink"/>
                    <w:color w:val="auto"/>
                    <w:u w:val="none"/>
                  </w:rPr>
                  <w:t>pyridine</w:t>
                </w:r>
              </w:hyperlink>
              <w:r w:rsidR="00DE58AE" w:rsidRPr="00DE58AE">
                <w:t xml:space="preserve"> and the </w:t>
              </w:r>
              <w:hyperlink r:id="rId11" w:tooltip="Lewis acid" w:history="1">
                <w:r w:rsidR="00DE58AE" w:rsidRPr="00DE58AE">
                  <w:rPr>
                    <w:rStyle w:val="Hyperlink"/>
                    <w:color w:val="auto"/>
                    <w:u w:val="none"/>
                  </w:rPr>
                  <w:t>Lewis acid</w:t>
                </w:r>
              </w:hyperlink>
              <w:r w:rsidR="00DE58AE" w:rsidRPr="00DE58AE">
                <w:t xml:space="preserve"> </w:t>
              </w:r>
              <w:hyperlink r:id="rId12" w:tooltip="Sulfur trioxide" w:history="1">
                <w:r w:rsidR="00DE58AE" w:rsidRPr="00DE58AE">
                  <w:rPr>
                    <w:rStyle w:val="Hyperlink"/>
                    <w:color w:val="auto"/>
                    <w:u w:val="none"/>
                  </w:rPr>
                  <w:t>sulfur trioxide</w:t>
                </w:r>
              </w:hyperlink>
              <w:r w:rsidR="00DE58AE" w:rsidRPr="00DE58AE">
                <w:t xml:space="preserve">. The compound is mainly used as a source of sulfur trioxide, for example in the synthesis of </w:t>
              </w:r>
              <w:hyperlink r:id="rId13" w:tooltip="Sulfate ester" w:history="1">
                <w:r w:rsidR="00DE58AE" w:rsidRPr="00DE58AE">
                  <w:rPr>
                    <w:rStyle w:val="Hyperlink"/>
                    <w:color w:val="auto"/>
                    <w:u w:val="none"/>
                  </w:rPr>
                  <w:t>sulfate esters</w:t>
                </w:r>
              </w:hyperlink>
              <w:r w:rsidR="00DE58AE" w:rsidRPr="00DE58AE">
                <w:t xml:space="preserve"> from </w:t>
              </w:r>
              <w:hyperlink r:id="rId14" w:tooltip="Alcohol" w:history="1">
                <w:r w:rsidR="00DE58AE" w:rsidRPr="00DE58AE">
                  <w:rPr>
                    <w:rStyle w:val="Hyperlink"/>
                    <w:color w:val="auto"/>
                    <w:u w:val="none"/>
                  </w:rPr>
                  <w:t>alcohols</w:t>
                </w:r>
              </w:hyperlink>
              <w:r w:rsidR="00DE58AE" w:rsidRPr="00DE58AE">
                <w:t xml:space="preserve">. Largely used as a </w:t>
              </w:r>
              <w:proofErr w:type="spellStart"/>
              <w:r w:rsidR="00DE58AE" w:rsidRPr="00DE58AE">
                <w:t>sulfonation</w:t>
              </w:r>
              <w:proofErr w:type="spellEnd"/>
              <w:r w:rsidR="00DE58AE" w:rsidRPr="00DE58AE">
                <w:t xml:space="preserve"> agent</w:t>
              </w:r>
              <w:r w:rsidR="00DE58AE">
                <w:t>.</w:t>
              </w:r>
            </w:sdtContent>
          </w:sdt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FD542D" w:rsidRPr="002B7D47">
            <w:rPr>
              <w:rFonts w:ascii="Arial" w:hAnsi="Arial" w:cs="Arial"/>
              <w:sz w:val="20"/>
              <w:szCs w:val="20"/>
            </w:rPr>
            <w:t>26412-87-3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2B7D47" w:rsidRPr="002B7D47">
            <w:rPr>
              <w:rFonts w:ascii="Arial" w:hAnsi="Arial" w:cs="Arial"/>
              <w:b/>
              <w:sz w:val="20"/>
              <w:szCs w:val="20"/>
              <w:u w:val="single"/>
            </w:rPr>
            <w:t>Carcinogen, corrosive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FD542D">
            <w:t>C</w:t>
          </w:r>
          <w:r w:rsidR="00FD542D">
            <w:rPr>
              <w:vertAlign w:val="subscript"/>
            </w:rPr>
            <w:t>5</w:t>
          </w:r>
          <w:r w:rsidR="00FD542D">
            <w:t>H</w:t>
          </w:r>
          <w:r w:rsidR="00FD542D">
            <w:rPr>
              <w:vertAlign w:val="subscript"/>
            </w:rPr>
            <w:t>5</w:t>
          </w:r>
          <w:r w:rsidR="00FD542D">
            <w:t>NSO</w:t>
          </w:r>
          <w:r w:rsidR="00FD542D">
            <w:rPr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FD542D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D542D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D542D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FD542D" w:rsidRDefault="00FD542D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OSHA Hazards</w:t>
              </w:r>
            </w:p>
            <w:p w:rsidR="00FD542D" w:rsidRDefault="00FD542D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Target Organ Effect, Toxic by ingestion, Corrosive</w:t>
              </w:r>
            </w:p>
            <w:p w:rsidR="00FD542D" w:rsidRDefault="00FD542D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Target Organs</w:t>
              </w:r>
            </w:p>
            <w:p w:rsidR="00987262" w:rsidRPr="00A874A1" w:rsidRDefault="00FD542D" w:rsidP="00A874A1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Liver, Kidney, Pancreas.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Default="003F564F" w:rsidP="002B7D47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:rsidR="002B7D47" w:rsidRPr="002B7D47" w:rsidRDefault="002B7D47" w:rsidP="002B7D47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437AE0" w:rsidRPr="003F564F" w:rsidRDefault="00437AE0" w:rsidP="00437AE0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15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16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p w:rsidR="002B7D47" w:rsidRDefault="002B7D47" w:rsidP="002B7D4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Nitrile or chloroprene gloves recommended.</w:t>
              </w:r>
            </w:p>
            <w:p w:rsidR="003F564F" w:rsidRPr="00265CA6" w:rsidRDefault="00574BC2" w:rsidP="002B7D4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r w:rsidR="002B7D47">
        <w:rPr>
          <w:rFonts w:ascii="Arial" w:hAnsi="Arial" w:cs="Arial"/>
          <w:sz w:val="20"/>
          <w:szCs w:val="20"/>
        </w:rPr>
        <w:t>s</w:t>
      </w:r>
      <w:r w:rsidR="00D00917" w:rsidRPr="002B7D47">
        <w:rPr>
          <w:rFonts w:ascii="Arial" w:hAnsi="Arial" w:cs="Arial"/>
          <w:sz w:val="20"/>
          <w:szCs w:val="20"/>
        </w:rPr>
        <w:t>ulfur trioxide pyridine complex</w:t>
      </w:r>
      <w:r w:rsidR="002B7D47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574BC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7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74BC2" w:rsidP="003F564F">
      <w:pPr>
        <w:pStyle w:val="NoSpacing"/>
        <w:rPr>
          <w:rFonts w:ascii="Arial" w:hAnsi="Arial" w:cs="Arial"/>
          <w:sz w:val="20"/>
          <w:szCs w:val="20"/>
        </w:rPr>
      </w:pPr>
      <w:hyperlink r:id="rId18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74BC2" w:rsidP="003F564F">
      <w:pPr>
        <w:pStyle w:val="NoSpacing"/>
        <w:rPr>
          <w:rFonts w:ascii="Arial" w:hAnsi="Arial" w:cs="Arial"/>
          <w:sz w:val="20"/>
          <w:szCs w:val="20"/>
        </w:rPr>
      </w:pPr>
      <w:hyperlink r:id="rId19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74BC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2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p w:rsidR="003F564F" w:rsidRPr="00265CA6" w:rsidRDefault="002B7D47" w:rsidP="002B7D4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Wear ANSI approved safety glasses or goggles</w:t>
              </w:r>
              <w:r w:rsidR="002571B8">
                <w:rPr>
                  <w:rFonts w:ascii="Arial" w:hAnsi="Arial" w:cs="Arial"/>
                  <w:sz w:val="20"/>
                  <w:szCs w:val="20"/>
                </w:rPr>
                <w:t>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faceshield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 is recommended.</w:t>
              </w:r>
            </w:p>
          </w:sdtContent>
        </w:sdt>
      </w:sdtContent>
    </w:sdt>
    <w:p w:rsidR="002B7D47" w:rsidRDefault="002B7D4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p w:rsidR="003F564F" w:rsidRPr="002B7D47" w:rsidRDefault="00574BC2" w:rsidP="003F564F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eastAsia="Times New Roman" w:hAnsi="Arial" w:cs="Arial"/>
                    <w:b/>
                    <w:bCs/>
                  </w:rPr>
                  <w:id w:val="-1950237310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2B7D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</w:t>
                      </w:r>
                      <w:proofErr w:type="gramStart"/>
                      <w:r w:rsidR="002B7D47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2B7D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</w:t>
                      </w:r>
                      <w:r w:rsidR="002B7D47">
                        <w:rPr>
                          <w:rFonts w:ascii="Arial" w:hAnsi="Arial" w:cs="Arial"/>
                          <w:sz w:val="20"/>
                          <w:szCs w:val="20"/>
                        </w:rPr>
                        <w:lastRenderedPageBreak/>
                        <w:t>individuals that are occupying the laboratory area. The area of skin between the shoe and ankle should not be exposed.</w:t>
                      </w:r>
                    </w:sdtContent>
                  </w:sdt>
                </w:sdtContent>
              </w:sdt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225072007"/>
              </w:sdtPr>
              <w:sdtEndPr/>
              <w:sdtContent>
                <w:p w:rsidR="002B7D47" w:rsidRDefault="002B7D47" w:rsidP="002B7D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Wash thoroughly after handling. Wash hands before eating. Remove contaminated clothing and wash before reuse.</w:t>
                  </w:r>
                </w:p>
                <w:p w:rsidR="002B7D47" w:rsidRPr="002B7D47" w:rsidRDefault="00574BC2" w:rsidP="002B7D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p w:rsidR="00C406D4" w:rsidRPr="00F909E2" w:rsidRDefault="002B7D47" w:rsidP="00C406D4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Use in a chemical fume hood</w:t>
              </w:r>
              <w:r w:rsidR="00F17DEC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p w:rsidR="00574BC2" w:rsidRDefault="004A02AF" w:rsidP="00574BC2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If inhaled, remove to fresh air. If not breathing, give artificial respiration. If breathing is difficult, give oxygen. Get medical</w:t>
              </w:r>
              <w:r w:rsidR="00574BC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attention</w:t>
              </w:r>
              <w:r w:rsidR="00F17DEC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  <w:p w:rsidR="003F564F" w:rsidRPr="00574BC2" w:rsidRDefault="00574BC2" w:rsidP="00574BC2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p w:rsidR="003F564F" w:rsidRPr="003F564F" w:rsidRDefault="00124931" w:rsidP="003F564F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After contact with skin, wash immediately with plenty of water. Gently and thoroughly wash the contaminated skin with running water and non-abrasive soap. Cold water may be used. Cover the irritated skin with an emollient. If irritation persists, seek medical attention.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p w:rsidR="004A02AF" w:rsidRDefault="004A02AF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Check for and remove any contact lenses. In case of contact, immediately flush eyes with plenty of water for at least 15</w:t>
              </w:r>
            </w:p>
            <w:p w:rsidR="003F564F" w:rsidRPr="003F564F" w:rsidRDefault="004A02AF" w:rsidP="003F564F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minutes. Cold water may be used. Get medical attention immediately.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p w:rsidR="00C406D4" w:rsidRPr="003F564F" w:rsidRDefault="00F72444" w:rsidP="003F564F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Do not induce vomiting</w:t>
              </w:r>
              <w:r w:rsidR="00EA5BF3">
                <w:rPr>
                  <w:rFonts w:ascii="Arial" w:hAnsi="Arial" w:cs="Arial"/>
                  <w:sz w:val="20"/>
                  <w:szCs w:val="20"/>
                </w:rPr>
                <w:t>. Loosen tight clothing such as a collar, tie, belt or waistband. If the victim is not breathing, perform mouth-to-mouth resuscitation. Seek immediate medical attention.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574BC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D00917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Precautions for safe handling </w:t>
              </w:r>
              <w:r w:rsidR="00D00917">
                <w:rPr>
                  <w:rFonts w:ascii="Arial" w:hAnsi="Arial" w:cs="Arial"/>
                  <w:sz w:val="20"/>
                  <w:szCs w:val="20"/>
                </w:rPr>
                <w:t xml:space="preserve">Avoid contact with skin and eyes. Avoid formation of dust and aerosols. Provide appropriate exhaust ventilation at places where dust is formed. Normal measures for preventive fire protection. </w:t>
              </w:r>
              <w:r w:rsidR="00D00917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Conditions for safe storage </w:t>
              </w:r>
              <w:r w:rsidR="00D00917">
                <w:rPr>
                  <w:rFonts w:ascii="Arial" w:hAnsi="Arial" w:cs="Arial"/>
                  <w:sz w:val="20"/>
                  <w:szCs w:val="20"/>
                </w:rPr>
                <w:t>Keep container tightly closed in a dry and well-ventilated place. Moisture sensitive. Store under</w:t>
              </w:r>
              <w:r w:rsidR="002B7D47">
                <w:rPr>
                  <w:rFonts w:ascii="Arial" w:hAnsi="Arial" w:cs="Arial"/>
                  <w:sz w:val="20"/>
                  <w:szCs w:val="20"/>
                </w:rPr>
                <w:t xml:space="preserve"> inert gas. Keep in a dry place</w:t>
              </w:r>
              <w:r w:rsidR="00F7244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2B7D47">
                <w:rPr>
                  <w:rFonts w:ascii="Arial" w:hAnsi="Arial" w:cs="Arial"/>
                  <w:sz w:val="20"/>
                  <w:szCs w:val="20"/>
                </w:rPr>
                <w:t xml:space="preserve"> Store in a secondary container and label as “Cancer Hazard.”</w:t>
              </w:r>
            </w:sdtContent>
          </w:sdt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D26F39" w:rsidRDefault="00D26F39" w:rsidP="00D26F3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D26F39" w:rsidRPr="00600ABB" w:rsidRDefault="00D26F39" w:rsidP="00D26F3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26F39" w:rsidRDefault="00D26F39" w:rsidP="00D26F3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21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74BC2" w:rsidRDefault="00574BC2" w:rsidP="00D26F39">
      <w:pPr>
        <w:rPr>
          <w:rFonts w:ascii="Arial" w:hAnsi="Arial" w:cs="Arial"/>
          <w:sz w:val="20"/>
          <w:szCs w:val="20"/>
        </w:rPr>
      </w:pPr>
    </w:p>
    <w:p w:rsidR="00D26F39" w:rsidRDefault="00D26F39" w:rsidP="00D26F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</w:t>
      </w:r>
      <w:bookmarkStart w:id="3" w:name="_GoBack"/>
      <w:r>
        <w:rPr>
          <w:rFonts w:ascii="Arial" w:hAnsi="Arial" w:cs="Arial"/>
          <w:sz w:val="20"/>
          <w:szCs w:val="20"/>
        </w:rPr>
        <w:t>ca</w:t>
      </w:r>
      <w:bookmarkEnd w:id="3"/>
      <w:r>
        <w:rPr>
          <w:rFonts w:ascii="Arial" w:hAnsi="Arial" w:cs="Arial"/>
          <w:sz w:val="20"/>
          <w:szCs w:val="20"/>
        </w:rPr>
        <w:t>l-specific protocols for responding to a spill, insert them here or mark “none”:]</w:t>
      </w:r>
    </w:p>
    <w:p w:rsidR="00D26F39" w:rsidRPr="00C94889" w:rsidRDefault="00D26F39" w:rsidP="00D26F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26F39" w:rsidRDefault="00D26F39" w:rsidP="00D26F3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D26F39" w:rsidRPr="003F564F" w:rsidRDefault="00D26F39" w:rsidP="00D26F39">
      <w:pPr>
        <w:pStyle w:val="Heading1"/>
      </w:pPr>
    </w:p>
    <w:p w:rsidR="00D26F39" w:rsidRDefault="00D26F39" w:rsidP="00D26F3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D26F39" w:rsidRPr="00265CA6" w:rsidRDefault="00D26F39" w:rsidP="00D26F3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D26F39" w:rsidRDefault="00D26F39" w:rsidP="00D26F3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D26F39" w:rsidRPr="00265CA6" w:rsidRDefault="00D26F39" w:rsidP="00D26F3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D0105E" w:rsidRPr="00F17523" w:rsidRDefault="00D0105E" w:rsidP="00D0105E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D0105E" w:rsidRPr="00D0105E" w:rsidRDefault="00D0105E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p w:rsidR="002B7D47" w:rsidRDefault="002B7D47" w:rsidP="002B7D4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Wearing proper PPE, decontaminate equipment and bench tops using soap and water. Dispose of the used diethyl ether and disposables contaminated with diethyl ether as hazardous waste.</w:t>
              </w:r>
            </w:p>
            <w:p w:rsidR="00471562" w:rsidRDefault="00574BC2" w:rsidP="002B7D4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</w:p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8D13E9" w:rsidRPr="00AF1F08" w:rsidRDefault="008D13E9" w:rsidP="008D13E9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22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D0D51" w:rsidP="00C406D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sz w:val="20"/>
              <w:szCs w:val="20"/>
            </w:rPr>
            <w:t>Enter Text Here</w:t>
          </w:r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r w:rsidR="002B7D47">
            <w:rPr>
              <w:rFonts w:ascii="Arial" w:hAnsi="Arial" w:cs="Arial"/>
              <w:sz w:val="20"/>
              <w:szCs w:val="20"/>
            </w:rPr>
            <w:t>s</w:t>
          </w:r>
          <w:r w:rsidR="00D00917" w:rsidRPr="002B7D47">
            <w:rPr>
              <w:rFonts w:ascii="Arial" w:hAnsi="Arial" w:cs="Arial"/>
              <w:sz w:val="20"/>
              <w:szCs w:val="20"/>
            </w:rPr>
            <w:t>ulfur trioxide pyridine complex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7204" w:rsidRPr="00514382" w:rsidRDefault="00A07204" w:rsidP="00A072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07204" w:rsidRPr="00514382" w:rsidRDefault="00A07204" w:rsidP="00A072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7204" w:rsidRPr="00514382" w:rsidRDefault="00A07204" w:rsidP="00A072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D1166" w:rsidRDefault="00CD1166" w:rsidP="00803871">
      <w:pPr>
        <w:rPr>
          <w:rFonts w:ascii="Arial" w:hAnsi="Arial" w:cs="Arial"/>
          <w:sz w:val="20"/>
          <w:szCs w:val="20"/>
        </w:rPr>
      </w:pPr>
    </w:p>
    <w:p w:rsidR="00CD1166" w:rsidRDefault="00CD1166" w:rsidP="00CD1166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CD1166" w:rsidRDefault="00CD1166" w:rsidP="00CD116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CD1166" w:rsidRDefault="00CD1166" w:rsidP="00CD1166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CD1166" w:rsidRDefault="00CD1166" w:rsidP="00CD1166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:rsidR="00CD1166" w:rsidRDefault="00CD1166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23"/>
      <w:footerReference w:type="default" r:id="rId24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66" w:rsidRDefault="000F0F66" w:rsidP="00E83E8B">
      <w:pPr>
        <w:spacing w:after="0" w:line="240" w:lineRule="auto"/>
      </w:pPr>
      <w:r>
        <w:separator/>
      </w:r>
    </w:p>
  </w:endnote>
  <w:endnote w:type="continuationSeparator" w:id="0">
    <w:p w:rsidR="000F0F66" w:rsidRDefault="000F0F6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201395">
    <w:pPr>
      <w:pStyle w:val="Foo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>S</w:t>
    </w:r>
    <w:r w:rsidR="00D00917">
      <w:rPr>
        <w:rFonts w:ascii="Arial" w:hAnsi="Arial" w:cs="Arial"/>
        <w:sz w:val="18"/>
        <w:szCs w:val="18"/>
      </w:rPr>
      <w:t>ulfur trioxide pyridine complex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5C2E35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C2E35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C2E35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C2E35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74BC2">
          <w:rPr>
            <w:rFonts w:ascii="Arial" w:hAnsi="Arial" w:cs="Arial"/>
            <w:bCs/>
            <w:noProof/>
            <w:sz w:val="18"/>
            <w:szCs w:val="18"/>
          </w:rPr>
          <w:t>4</w:t>
        </w:r>
        <w:r w:rsidR="005C2E35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5C2E35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5C2E35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C2E35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C2E35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74BC2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C2E35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C2E35">
              <w:rPr>
                <w:rFonts w:ascii="Arial" w:hAnsi="Arial" w:cs="Arial"/>
                <w:noProof/>
                <w:sz w:val="18"/>
                <w:szCs w:val="18"/>
              </w:rPr>
              <w:t>11/29/2017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5C2E35" w:rsidRDefault="005C2E35" w:rsidP="005C2E35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66" w:rsidRDefault="000F0F66" w:rsidP="00E83E8B">
      <w:pPr>
        <w:spacing w:after="0" w:line="240" w:lineRule="auto"/>
      </w:pPr>
      <w:r>
        <w:separator/>
      </w:r>
    </w:p>
  </w:footnote>
  <w:footnote w:type="continuationSeparator" w:id="0">
    <w:p w:rsidR="000F0F66" w:rsidRDefault="000F0F6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5C2E3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BA1197" wp14:editId="7F41B361">
          <wp:simplePos x="0" y="0"/>
          <wp:positionH relativeFrom="page">
            <wp:posOffset>457200</wp:posOffset>
          </wp:positionH>
          <wp:positionV relativeFrom="page">
            <wp:posOffset>368300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0A46"/>
    <w:rsid w:val="000B6958"/>
    <w:rsid w:val="000C7BBD"/>
    <w:rsid w:val="000D5EF1"/>
    <w:rsid w:val="000F0F66"/>
    <w:rsid w:val="000F5131"/>
    <w:rsid w:val="000F5384"/>
    <w:rsid w:val="00112223"/>
    <w:rsid w:val="00124931"/>
    <w:rsid w:val="001932B2"/>
    <w:rsid w:val="001D0366"/>
    <w:rsid w:val="00201395"/>
    <w:rsid w:val="00215252"/>
    <w:rsid w:val="00233DD9"/>
    <w:rsid w:val="0024543D"/>
    <w:rsid w:val="002571B8"/>
    <w:rsid w:val="00265CA6"/>
    <w:rsid w:val="00267501"/>
    <w:rsid w:val="0028583B"/>
    <w:rsid w:val="002B7D47"/>
    <w:rsid w:val="00312DBF"/>
    <w:rsid w:val="00366414"/>
    <w:rsid w:val="00366DA6"/>
    <w:rsid w:val="003904D4"/>
    <w:rsid w:val="003950E9"/>
    <w:rsid w:val="003A1EB3"/>
    <w:rsid w:val="003A53B2"/>
    <w:rsid w:val="003B0857"/>
    <w:rsid w:val="003F564F"/>
    <w:rsid w:val="00426401"/>
    <w:rsid w:val="00427421"/>
    <w:rsid w:val="00437AE0"/>
    <w:rsid w:val="00442EBE"/>
    <w:rsid w:val="004453D5"/>
    <w:rsid w:val="00471562"/>
    <w:rsid w:val="004A02AF"/>
    <w:rsid w:val="0052121D"/>
    <w:rsid w:val="00530E90"/>
    <w:rsid w:val="005737E3"/>
    <w:rsid w:val="00574BC2"/>
    <w:rsid w:val="005C2E35"/>
    <w:rsid w:val="00637757"/>
    <w:rsid w:val="00657ED6"/>
    <w:rsid w:val="00672441"/>
    <w:rsid w:val="00693D76"/>
    <w:rsid w:val="006E4C36"/>
    <w:rsid w:val="007268C5"/>
    <w:rsid w:val="00787432"/>
    <w:rsid w:val="007D58BC"/>
    <w:rsid w:val="00800DDA"/>
    <w:rsid w:val="00803871"/>
    <w:rsid w:val="00837AFC"/>
    <w:rsid w:val="0084116F"/>
    <w:rsid w:val="00850978"/>
    <w:rsid w:val="00866AE7"/>
    <w:rsid w:val="00891D4B"/>
    <w:rsid w:val="008A2498"/>
    <w:rsid w:val="008D13E9"/>
    <w:rsid w:val="008F73D6"/>
    <w:rsid w:val="00917F75"/>
    <w:rsid w:val="009406B2"/>
    <w:rsid w:val="009452B5"/>
    <w:rsid w:val="00952B71"/>
    <w:rsid w:val="00972CE1"/>
    <w:rsid w:val="00987262"/>
    <w:rsid w:val="009C77EA"/>
    <w:rsid w:val="009D370A"/>
    <w:rsid w:val="009D76B0"/>
    <w:rsid w:val="009F5503"/>
    <w:rsid w:val="00A003B7"/>
    <w:rsid w:val="00A07204"/>
    <w:rsid w:val="00A119D1"/>
    <w:rsid w:val="00A13461"/>
    <w:rsid w:val="00A52E06"/>
    <w:rsid w:val="00A721D1"/>
    <w:rsid w:val="00A874A1"/>
    <w:rsid w:val="00AB6C33"/>
    <w:rsid w:val="00AD0D51"/>
    <w:rsid w:val="00AE64F9"/>
    <w:rsid w:val="00B271EE"/>
    <w:rsid w:val="00B4188D"/>
    <w:rsid w:val="00B50CCA"/>
    <w:rsid w:val="00B6326D"/>
    <w:rsid w:val="00C060FA"/>
    <w:rsid w:val="00C406D4"/>
    <w:rsid w:val="00C67410"/>
    <w:rsid w:val="00C7603C"/>
    <w:rsid w:val="00CD1166"/>
    <w:rsid w:val="00CF5FBB"/>
    <w:rsid w:val="00D00746"/>
    <w:rsid w:val="00D00917"/>
    <w:rsid w:val="00D0105E"/>
    <w:rsid w:val="00D26F39"/>
    <w:rsid w:val="00D8294B"/>
    <w:rsid w:val="00DA66F9"/>
    <w:rsid w:val="00DB70FD"/>
    <w:rsid w:val="00DC39EF"/>
    <w:rsid w:val="00DD0B90"/>
    <w:rsid w:val="00DE58AE"/>
    <w:rsid w:val="00DF3BC5"/>
    <w:rsid w:val="00E706C6"/>
    <w:rsid w:val="00E83E8B"/>
    <w:rsid w:val="00E842B3"/>
    <w:rsid w:val="00EA5BF3"/>
    <w:rsid w:val="00EB0753"/>
    <w:rsid w:val="00F077CF"/>
    <w:rsid w:val="00F17DEC"/>
    <w:rsid w:val="00F212B5"/>
    <w:rsid w:val="00F669D9"/>
    <w:rsid w:val="00F72444"/>
    <w:rsid w:val="00F909E2"/>
    <w:rsid w:val="00F96647"/>
    <w:rsid w:val="00FB4DD8"/>
    <w:rsid w:val="00FD542D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04260C"/>
  <w15:docId w15:val="{702FB8B4-896C-459D-B6BB-460CC65C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reflink">
    <w:name w:val="reflink"/>
    <w:basedOn w:val="DefaultParagraphFont"/>
    <w:rsid w:val="00F17DEC"/>
  </w:style>
  <w:style w:type="paragraph" w:styleId="NormalWeb">
    <w:name w:val="Normal (Web)"/>
    <w:basedOn w:val="Normal"/>
    <w:uiPriority w:val="99"/>
    <w:semiHidden/>
    <w:unhideWhenUsed/>
    <w:rsid w:val="0025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dduct" TargetMode="External"/><Relationship Id="rId13" Type="http://schemas.openxmlformats.org/officeDocument/2006/relationships/hyperlink" Target="http://en.wikipedia.org/wiki/Sulfate_ester" TargetMode="External"/><Relationship Id="rId18" Type="http://schemas.openxmlformats.org/officeDocument/2006/relationships/hyperlink" Target="http://www.allsafetyproducts.biz/page/74172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research.uga.edu/docs/units/safety/manuals/Chemical-Laboratory-Safety-Manual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Sulfur_trioxide" TargetMode="External"/><Relationship Id="rId17" Type="http://schemas.openxmlformats.org/officeDocument/2006/relationships/hyperlink" Target="http://www.ansellpro.com/download/Ansell_8thEditionChemicalResistanceGuide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earch.uga.edu/ohsp/" TargetMode="External"/><Relationship Id="rId20" Type="http://schemas.openxmlformats.org/officeDocument/2006/relationships/hyperlink" Target="http://www.mapaglov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Lewis_acid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/sites/default/files/respiratoryprotection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en.wikipedia.org/wiki/Pyridine" TargetMode="External"/><Relationship Id="rId19" Type="http://schemas.openxmlformats.org/officeDocument/2006/relationships/hyperlink" Target="http://www.showabestglove.com/site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Lewis_base" TargetMode="External"/><Relationship Id="rId14" Type="http://schemas.openxmlformats.org/officeDocument/2006/relationships/hyperlink" Target="http://en.wikipedia.org/wiki/Alcohol" TargetMode="External"/><Relationship Id="rId22" Type="http://schemas.openxmlformats.org/officeDocument/2006/relationships/hyperlink" Target="https://esd.uga.ed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B5A68C83776949E3BB0674CDC105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1825-CB30-4CF3-8658-D18EDD981254}"/>
      </w:docPartPr>
      <w:docPartBody>
        <w:p w:rsidR="000E3DE4" w:rsidRDefault="00CF7039" w:rsidP="00CF7039">
          <w:pPr>
            <w:pStyle w:val="B5A68C83776949E3BB0674CDC1059F4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216499CB485402FABB913E425BF6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6050E-20BF-4672-A360-725F2CEC8FA3}"/>
      </w:docPartPr>
      <w:docPartBody>
        <w:p w:rsidR="000E3DE4" w:rsidRDefault="00CF7039" w:rsidP="00CF7039">
          <w:pPr>
            <w:pStyle w:val="9216499CB485402FABB913E425BF621C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3473BA19B4AB41308B5B8137B439D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1D0F7-73FF-4CEB-9CF1-0F105800C30F}"/>
      </w:docPartPr>
      <w:docPartBody>
        <w:p w:rsidR="000E3DE4" w:rsidRDefault="00CF7039" w:rsidP="00CF7039">
          <w:pPr>
            <w:pStyle w:val="3473BA19B4AB41308B5B8137B439D616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613D04B030484D52BC5B2D802F22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679F-D4AE-4AAA-BA87-419812CFB4F1}"/>
      </w:docPartPr>
      <w:docPartBody>
        <w:p w:rsidR="000E3DE4" w:rsidRDefault="00CF7039" w:rsidP="00CF7039">
          <w:pPr>
            <w:pStyle w:val="613D04B030484D52BC5B2D802F2286DA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87032A6B4574068AA16BE9ED450C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E46D-2969-4FB9-B0E8-326569AC665F}"/>
      </w:docPartPr>
      <w:docPartBody>
        <w:p w:rsidR="000E3DE4" w:rsidRDefault="00CF7039" w:rsidP="00CF7039">
          <w:pPr>
            <w:pStyle w:val="C87032A6B4574068AA16BE9ED450CCF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68FEDEAF0D046099B1C4C274D4F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CD1A-62E0-456E-A286-AAB2132CEAEA}"/>
      </w:docPartPr>
      <w:docPartBody>
        <w:p w:rsidR="000E3DE4" w:rsidRDefault="00CF7039" w:rsidP="00CF7039">
          <w:pPr>
            <w:pStyle w:val="368FEDEAF0D046099B1C4C274D4F6D8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72F743A374B4C9CAFE7BA871631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870A-1973-48F3-B7D6-D18C689F8229}"/>
      </w:docPartPr>
      <w:docPartBody>
        <w:p w:rsidR="000E3DE4" w:rsidRDefault="00CF7039" w:rsidP="00CF7039">
          <w:pPr>
            <w:pStyle w:val="272F743A374B4C9CAFE7BA871631015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50C9FF5DD824155853A7719FFFF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29E8B-EB3C-4BA5-978F-693409744EAC}"/>
      </w:docPartPr>
      <w:docPartBody>
        <w:p w:rsidR="000E3DE4" w:rsidRDefault="00CF7039" w:rsidP="00CF7039">
          <w:pPr>
            <w:pStyle w:val="950C9FF5DD824155853A7719FFFF095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38B7E7BE8F74D758E0948399D327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03000-E540-44A2-B35C-03A82A7B35AB}"/>
      </w:docPartPr>
      <w:docPartBody>
        <w:p w:rsidR="000E3DE4" w:rsidRDefault="00CF7039" w:rsidP="00CF7039">
          <w:pPr>
            <w:pStyle w:val="338B7E7BE8F74D758E0948399D327E00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E3DE4"/>
    <w:rsid w:val="000F542F"/>
    <w:rsid w:val="000F69A7"/>
    <w:rsid w:val="00260C72"/>
    <w:rsid w:val="00465D27"/>
    <w:rsid w:val="004F1CE5"/>
    <w:rsid w:val="005938EF"/>
    <w:rsid w:val="005A70F7"/>
    <w:rsid w:val="006606EC"/>
    <w:rsid w:val="00664E38"/>
    <w:rsid w:val="00696754"/>
    <w:rsid w:val="006E0705"/>
    <w:rsid w:val="006F52A7"/>
    <w:rsid w:val="00701618"/>
    <w:rsid w:val="007211E0"/>
    <w:rsid w:val="00732545"/>
    <w:rsid w:val="00757262"/>
    <w:rsid w:val="00792D49"/>
    <w:rsid w:val="00801600"/>
    <w:rsid w:val="008A650D"/>
    <w:rsid w:val="008E4469"/>
    <w:rsid w:val="00951F21"/>
    <w:rsid w:val="00966BD6"/>
    <w:rsid w:val="009B5D3C"/>
    <w:rsid w:val="00AF6721"/>
    <w:rsid w:val="00B010C8"/>
    <w:rsid w:val="00B81870"/>
    <w:rsid w:val="00BE53EC"/>
    <w:rsid w:val="00C445ED"/>
    <w:rsid w:val="00CA32D6"/>
    <w:rsid w:val="00CF7039"/>
    <w:rsid w:val="00D7087C"/>
    <w:rsid w:val="00DF3CCD"/>
    <w:rsid w:val="00DF74CD"/>
    <w:rsid w:val="00E32022"/>
    <w:rsid w:val="00E44D33"/>
    <w:rsid w:val="00EB0FD8"/>
    <w:rsid w:val="00EE384D"/>
    <w:rsid w:val="00F45114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039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37C839DF56BC427DB44D34D76F316E15">
    <w:name w:val="37C839DF56BC427DB44D34D76F316E15"/>
    <w:rsid w:val="00DF74CD"/>
    <w:pPr>
      <w:spacing w:after="160" w:line="259" w:lineRule="auto"/>
    </w:pPr>
    <w:rPr>
      <w:kern w:val="2"/>
      <w14:ligatures w14:val="standard"/>
    </w:rPr>
  </w:style>
  <w:style w:type="paragraph" w:customStyle="1" w:styleId="B5A68C83776949E3BB0674CDC1059F4C">
    <w:name w:val="B5A68C83776949E3BB0674CDC1059F4C"/>
    <w:rsid w:val="00CF7039"/>
  </w:style>
  <w:style w:type="paragraph" w:customStyle="1" w:styleId="9216499CB485402FABB913E425BF621C">
    <w:name w:val="9216499CB485402FABB913E425BF621C"/>
    <w:rsid w:val="00CF7039"/>
  </w:style>
  <w:style w:type="paragraph" w:customStyle="1" w:styleId="3473BA19B4AB41308B5B8137B439D616">
    <w:name w:val="3473BA19B4AB41308B5B8137B439D616"/>
    <w:rsid w:val="00CF7039"/>
  </w:style>
  <w:style w:type="paragraph" w:customStyle="1" w:styleId="613D04B030484D52BC5B2D802F2286DA">
    <w:name w:val="613D04B030484D52BC5B2D802F2286DA"/>
    <w:rsid w:val="00CF7039"/>
  </w:style>
  <w:style w:type="paragraph" w:customStyle="1" w:styleId="C87032A6B4574068AA16BE9ED450CCF3">
    <w:name w:val="C87032A6B4574068AA16BE9ED450CCF3"/>
    <w:rsid w:val="00CF7039"/>
  </w:style>
  <w:style w:type="paragraph" w:customStyle="1" w:styleId="368FEDEAF0D046099B1C4C274D4F6D88">
    <w:name w:val="368FEDEAF0D046099B1C4C274D4F6D88"/>
    <w:rsid w:val="00CF7039"/>
  </w:style>
  <w:style w:type="paragraph" w:customStyle="1" w:styleId="272F743A374B4C9CAFE7BA8716310153">
    <w:name w:val="272F743A374B4C9CAFE7BA8716310153"/>
    <w:rsid w:val="00CF7039"/>
  </w:style>
  <w:style w:type="paragraph" w:customStyle="1" w:styleId="950C9FF5DD824155853A7719FFFF0954">
    <w:name w:val="950C9FF5DD824155853A7719FFFF0954"/>
    <w:rsid w:val="00CF7039"/>
  </w:style>
  <w:style w:type="paragraph" w:customStyle="1" w:styleId="338B7E7BE8F74D758E0948399D327E00">
    <w:name w:val="338B7E7BE8F74D758E0948399D327E00"/>
    <w:rsid w:val="00CF7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75A8-A7F1-4B25-9DFF-0A10A087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2017-08-10T19:50:00Z</dcterms:created>
  <dcterms:modified xsi:type="dcterms:W3CDTF">2017-12-06T15:09:00Z</dcterms:modified>
</cp:coreProperties>
</file>