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12422957" w:rsidR="00F909E2" w:rsidRPr="00F45D34" w:rsidRDefault="00A775FE" w:rsidP="00FB4DD8">
      <w:pPr>
        <w:jc w:val="center"/>
        <w:rPr>
          <w:rFonts w:ascii="Arial" w:hAnsi="Arial" w:cs="Arial"/>
          <w:sz w:val="180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180"/>
            <w:szCs w:val="36"/>
          </w:rPr>
        </w:sdtEndPr>
        <w:sdtContent>
          <w:proofErr w:type="spellStart"/>
          <w:r w:rsidR="00F45D34" w:rsidRPr="00F45D34">
            <w:rPr>
              <w:rFonts w:ascii="Arial" w:eastAsia="Times New Roman" w:hAnsi="Arial" w:cs="Arial"/>
              <w:color w:val="000000"/>
              <w:sz w:val="40"/>
              <w:szCs w:val="20"/>
            </w:rPr>
            <w:t>Phenylhydrazine</w:t>
          </w:r>
          <w:proofErr w:type="spellEnd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30644BBC" w14:textId="58B2ED8B" w:rsidR="00F45D34" w:rsidRPr="00F45D34" w:rsidRDefault="00F45D34" w:rsidP="00D61C24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proofErr w:type="spellStart"/>
              <w:r w:rsidRPr="00F45D34">
                <w:rPr>
                  <w:rFonts w:ascii="Arial" w:hAnsi="Arial" w:cs="Arial"/>
                  <w:color w:val="222222"/>
                  <w:sz w:val="20"/>
                  <w:szCs w:val="20"/>
                </w:rPr>
                <w:t>Phenylhydrazine</w:t>
              </w:r>
              <w:proofErr w:type="spellEnd"/>
              <w:r w:rsidR="00381437" w:rsidRPr="00F45D34">
                <w:rPr>
                  <w:rFonts w:ascii="Arial" w:hAnsi="Arial" w:cs="Arial"/>
                  <w:sz w:val="20"/>
                  <w:szCs w:val="20"/>
                </w:rPr>
                <w:t xml:space="preserve"> is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 </w:t>
              </w:r>
              <w:r w:rsidRPr="00F45D34">
                <w:rPr>
                  <w:rFonts w:ascii="Arial" w:hAnsi="Arial" w:cs="Arial"/>
                  <w:b/>
                  <w:sz w:val="20"/>
                  <w:szCs w:val="20"/>
                </w:rPr>
                <w:t>combustible liquid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381437" w:rsidRPr="00F45D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81437" w:rsidRPr="00F45D34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 w:rsidRPr="00F45D34">
                <w:rPr>
                  <w:rFonts w:ascii="Arial" w:hAnsi="Arial" w:cs="Arial"/>
                  <w:sz w:val="20"/>
                  <w:szCs w:val="20"/>
                </w:rPr>
                <w:t xml:space="preserve"> and a possible </w:t>
              </w:r>
              <w:r w:rsidRPr="00F45D34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 w:rsidRPr="00F45D3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775FE">
                <w:rPr>
                  <w:rFonts w:ascii="Arial" w:hAnsi="Arial" w:cs="Arial"/>
                  <w:sz w:val="20"/>
                  <w:szCs w:val="20"/>
                </w:rPr>
                <w:t xml:space="preserve"> It is h</w:t>
              </w:r>
              <w:r w:rsidR="00D61C24" w:rsidRPr="00F45D34">
                <w:rPr>
                  <w:rFonts w:ascii="Arial" w:hAnsi="Arial" w:cs="Arial"/>
                  <w:sz w:val="20"/>
                  <w:szCs w:val="20"/>
                </w:rPr>
                <w:t>armful to the</w:t>
              </w:r>
              <w:r w:rsidR="002E0D97" w:rsidRPr="00F45D34">
                <w:rPr>
                  <w:rFonts w:ascii="Arial" w:hAnsi="Arial" w:cs="Arial"/>
                  <w:sz w:val="20"/>
                  <w:szCs w:val="20"/>
                </w:rPr>
                <w:t xml:space="preserve"> skin, mucous membranes and respiratory system.</w:t>
              </w:r>
              <w:r w:rsidR="00A775FE">
                <w:rPr>
                  <w:rFonts w:ascii="Arial" w:hAnsi="Arial" w:cs="Arial"/>
                  <w:sz w:val="20"/>
                  <w:szCs w:val="20"/>
                </w:rPr>
                <w:t xml:space="preserve"> It is h</w:t>
              </w:r>
              <w:r w:rsidRPr="00F45D34">
                <w:rPr>
                  <w:rFonts w:ascii="Arial" w:hAnsi="Arial" w:cs="Arial"/>
                  <w:sz w:val="20"/>
                  <w:szCs w:val="20"/>
                </w:rPr>
                <w:t>armful or fatal by</w:t>
              </w:r>
              <w:r w:rsidR="002E0D97" w:rsidRPr="00F45D34">
                <w:rPr>
                  <w:rFonts w:ascii="Arial" w:hAnsi="Arial" w:cs="Arial"/>
                  <w:sz w:val="20"/>
                  <w:szCs w:val="20"/>
                </w:rPr>
                <w:t xml:space="preserve"> ingestion, inhalation or skin absorption</w:t>
              </w:r>
              <w:r w:rsidR="00A775FE">
                <w:rPr>
                  <w:rFonts w:ascii="Arial" w:hAnsi="Arial" w:cs="Arial"/>
                  <w:sz w:val="20"/>
                  <w:szCs w:val="20"/>
                </w:rPr>
                <w:t xml:space="preserve"> and t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argeted organs include the blood, liver, and kidney. </w:t>
              </w:r>
            </w:p>
            <w:p w14:paraId="2B131D55" w14:textId="0C2098B4" w:rsidR="00F45D34" w:rsidRPr="00F45D34" w:rsidRDefault="00A775FE" w:rsidP="00F45D34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proofErr w:type="spellStart"/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Phenylhydrazine</w:t>
              </w:r>
              <w:proofErr w:type="spellEnd"/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is u</w:t>
              </w:r>
              <w:r w:rsidR="00F45D34" w:rsidRPr="00F45D34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sed as an intermediate in synthesis of dyes and pharmaceuticals or used to induce hemolytic anemia in scientific research.  </w:t>
              </w:r>
            </w:p>
          </w:sdtContent>
        </w:sdt>
      </w:sdtContent>
    </w:sdt>
    <w:p w14:paraId="6E4EB377" w14:textId="72686C64" w:rsidR="00C406D4" w:rsidRPr="00F45D34" w:rsidRDefault="00C406D4" w:rsidP="00F45D3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0E88AA4B" w:rsidR="00D61C24" w:rsidRPr="008C4B9E" w:rsidRDefault="00D8294B" w:rsidP="00381437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381437">
        <w:rPr>
          <w:rFonts w:ascii="Arial" w:hAnsi="Arial" w:cs="Arial"/>
          <w:sz w:val="20"/>
          <w:szCs w:val="20"/>
        </w:rPr>
        <w:t>1</w:t>
      </w:r>
      <w:r w:rsidR="00F45D34">
        <w:rPr>
          <w:rFonts w:ascii="Arial" w:hAnsi="Arial" w:cs="Arial"/>
          <w:sz w:val="20"/>
          <w:szCs w:val="20"/>
        </w:rPr>
        <w:t>00-63-0</w:t>
      </w:r>
    </w:p>
    <w:p w14:paraId="4B8FE3B1" w14:textId="15B3DB2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381437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D61C24">
            <w:rPr>
              <w:rFonts w:ascii="Arial" w:hAnsi="Arial" w:cs="Arial"/>
              <w:b/>
              <w:sz w:val="20"/>
              <w:szCs w:val="20"/>
              <w:u w:val="single"/>
            </w:rPr>
            <w:t>rritant, toxic</w:t>
          </w:r>
          <w:r w:rsidR="00F45D34">
            <w:rPr>
              <w:rFonts w:ascii="Arial" w:hAnsi="Arial" w:cs="Arial"/>
              <w:b/>
              <w:sz w:val="20"/>
              <w:szCs w:val="20"/>
              <w:u w:val="single"/>
            </w:rPr>
            <w:t>, carcinogenic, combustible liquid</w:t>
          </w:r>
          <w:r w:rsidR="00381437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6A1EDDF5" w14:textId="53D5B27C" w:rsidR="00D8294B" w:rsidRPr="00381437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F45D34" w:rsidRPr="00F45D34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F45D34" w:rsidRPr="00F45D34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6</w:t>
              </w:r>
              <w:r w:rsidR="00F45D34" w:rsidRPr="00F45D34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F45D34" w:rsidRPr="00F45D34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5</w:t>
              </w:r>
              <w:r w:rsidR="00F45D34" w:rsidRPr="00F45D34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NHNH</w:t>
              </w:r>
              <w:r w:rsidR="00F45D34" w:rsidRPr="00F45D34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F45D34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18470A8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381437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A775FE">
        <w:rPr>
          <w:rFonts w:ascii="Arial" w:hAnsi="Arial" w:cs="Arial"/>
          <w:sz w:val="20"/>
          <w:szCs w:val="20"/>
        </w:rPr>
        <w:t>L</w:t>
      </w:r>
      <w:r w:rsidR="00F45D34">
        <w:rPr>
          <w:rFonts w:ascii="Arial" w:hAnsi="Arial" w:cs="Arial"/>
          <w:sz w:val="20"/>
          <w:szCs w:val="20"/>
        </w:rPr>
        <w:t>iquid</w:t>
      </w:r>
    </w:p>
    <w:p w14:paraId="57C4B030" w14:textId="07F4CBD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775FE">
            <w:rPr>
              <w:rFonts w:ascii="Arial" w:hAnsi="Arial" w:cs="Arial"/>
              <w:sz w:val="20"/>
              <w:szCs w:val="20"/>
            </w:rPr>
            <w:t>C</w:t>
          </w:r>
          <w:r w:rsidR="00F45D34">
            <w:rPr>
              <w:rFonts w:ascii="Arial" w:hAnsi="Arial" w:cs="Arial"/>
              <w:sz w:val="20"/>
              <w:szCs w:val="20"/>
            </w:rPr>
            <w:t>olorless to yellow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2FA811C2" w14:textId="421D12F4" w:rsidR="00C406D4" w:rsidRPr="0038143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381437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45D3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238</w:t>
          </w:r>
          <w:r w:rsidR="00381437" w:rsidRPr="0038143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 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F5BDDAD" w14:textId="6C1A5A32" w:rsidR="00F45D34" w:rsidRPr="00F45D34" w:rsidRDefault="00F45D34" w:rsidP="00F45D3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F45D3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Phenylhydrazine</w:t>
                      </w:r>
                      <w:proofErr w:type="spellEnd"/>
                      <w:r w:rsidR="00381437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1C2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F45D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combustible liquid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381437" w:rsidRPr="00F45D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 w:rsidR="00D61C2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F45D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carcinogenic,</w:t>
                      </w:r>
                      <w:r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1C2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harmful by inhalation, </w:t>
                      </w:r>
                      <w:r w:rsidR="00D61C24" w:rsidRPr="00F45D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irritating </w:t>
                      </w:r>
                      <w:r w:rsidR="00D61C2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to respiratory system</w:t>
                      </w:r>
                      <w:r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A775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contact dermatitis.</w:t>
                      </w:r>
                      <w:r w:rsidR="00A775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 is h</w:t>
                      </w:r>
                      <w:r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armful to the skin, mucous membranes and respiratory system. </w:t>
                      </w:r>
                      <w:proofErr w:type="spellStart"/>
                      <w:r w:rsidR="00A775FE">
                        <w:rPr>
                          <w:rFonts w:ascii="Arial" w:hAnsi="Arial" w:cs="Arial"/>
                          <w:sz w:val="20"/>
                          <w:szCs w:val="20"/>
                        </w:rPr>
                        <w:t>Phenylhydrazine</w:t>
                      </w:r>
                      <w:proofErr w:type="spellEnd"/>
                      <w:r w:rsidR="00A775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h</w:t>
                      </w:r>
                      <w:r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armful or fatal by ingestion, inhalation or skin absorption</w:t>
                      </w:r>
                      <w:r w:rsidR="00A775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argeted organs include the blood, liver, and kidney. </w:t>
                      </w:r>
                    </w:p>
                    <w:p w14:paraId="6763D191" w14:textId="27053BE5" w:rsidR="00D61C24" w:rsidRPr="00F45D34" w:rsidRDefault="00F45D34" w:rsidP="00D61C2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45D3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Phenylhydrazine</w:t>
                      </w:r>
                      <w:proofErr w:type="spellEnd"/>
                      <w:r w:rsidR="00381437" w:rsidRPr="00F45D3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1C24" w:rsidRPr="00F45D3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has the following permissible exposure limits: </w:t>
                      </w:r>
                      <w:r w:rsidRPr="00F45D3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TWA 5ppm (20mg/m3) skin </w:t>
                      </w:r>
                    </w:p>
                    <w:p w14:paraId="2F595683" w14:textId="09D12827" w:rsidR="00381437" w:rsidRPr="00F45D34" w:rsidRDefault="00F45D34" w:rsidP="00381437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proofErr w:type="spellStart"/>
                      <w:r w:rsidRPr="00F45D3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Phenylhydrazine</w:t>
                      </w:r>
                      <w:proofErr w:type="spellEnd"/>
                      <w:r w:rsidR="00381437"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has the following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acute </w:t>
                      </w:r>
                      <w:r w:rsidR="00381437"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toxicity data: </w:t>
                      </w:r>
                    </w:p>
                    <w:p w14:paraId="37FE09C1" w14:textId="0302F1E2" w:rsidR="00F45D34" w:rsidRDefault="00F45D34" w:rsidP="00F45D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Oral </w:t>
                      </w:r>
                      <w:r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LD50 Oral - rat - 188 mg/kg</w:t>
                      </w:r>
                    </w:p>
                    <w:p w14:paraId="5CB959D1" w14:textId="0F8A9E68" w:rsidR="00987262" w:rsidRPr="00F45D34" w:rsidRDefault="00F45D34" w:rsidP="00F45D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Inhalation LC50 - rat - 2,610 mg/m3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27D5F3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A775FE">
        <w:rPr>
          <w:rFonts w:ascii="Arial" w:hAnsi="Arial" w:cs="Arial"/>
          <w:sz w:val="20"/>
          <w:szCs w:val="20"/>
        </w:rPr>
        <w:t>.</w:t>
      </w:r>
    </w:p>
    <w:p w14:paraId="44A68C10" w14:textId="088A056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A775FE">
        <w:rPr>
          <w:rFonts w:ascii="Arial" w:hAnsi="Arial" w:cs="Arial"/>
          <w:sz w:val="20"/>
          <w:szCs w:val="20"/>
        </w:rPr>
        <w:t>.</w:t>
      </w:r>
    </w:p>
    <w:p w14:paraId="498A7E0F" w14:textId="77777777" w:rsidR="00223B02" w:rsidRPr="003F564F" w:rsidRDefault="00223B02" w:rsidP="00A775FE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bookmarkStart w:id="2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bookmarkEnd w:id="2"/>
    <w:p w14:paraId="07CE9CA2" w14:textId="77777777" w:rsidR="003F564F" w:rsidRPr="00265CA6" w:rsidRDefault="003F564F" w:rsidP="00A775F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A775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029C6CA0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75FE">
        <w:rPr>
          <w:rFonts w:ascii="Arial" w:hAnsi="Arial" w:cs="Arial"/>
          <w:sz w:val="20"/>
          <w:szCs w:val="20"/>
        </w:rPr>
        <w:t>p</w:t>
      </w:r>
      <w:r w:rsidR="00F45D34" w:rsidRPr="00F45D34">
        <w:rPr>
          <w:rFonts w:ascii="Arial" w:eastAsia="Times New Roman" w:hAnsi="Arial" w:cs="Arial"/>
          <w:color w:val="000000"/>
          <w:sz w:val="20"/>
          <w:szCs w:val="20"/>
        </w:rPr>
        <w:t>henylhydrazine</w:t>
      </w:r>
      <w:proofErr w:type="spellEnd"/>
      <w:r w:rsidR="00F45D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ADA4141" w14:textId="77777777" w:rsidR="00A775FE" w:rsidRDefault="00A77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43623D66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A775F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775F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775F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775F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A775F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1BEF2EE" w:rsidR="003F564F" w:rsidRPr="00265CA6" w:rsidRDefault="00A775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638BA0E" w:rsidR="003F564F" w:rsidRPr="00265CA6" w:rsidRDefault="00A775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sure while wearing gloves. Full-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75B22A21" w:rsidR="00C406D4" w:rsidRPr="00F909E2" w:rsidRDefault="00A775FE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1A8BC93F" w:rsidR="003F564F" w:rsidRPr="003F564F" w:rsidRDefault="00A775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775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775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7604569B" w14:textId="18FC88A0" w:rsidR="00352F12" w:rsidRDefault="00A775FE" w:rsidP="00352F12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352F12" w:rsidRPr="00A775FE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="00352F12"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352F12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352F12">
            <w:rPr>
              <w:rFonts w:ascii="Arial" w:hAnsi="Arial" w:cs="Arial"/>
              <w:sz w:val="20"/>
              <w:szCs w:val="20"/>
            </w:rPr>
            <w:t xml:space="preserve"> </w:t>
          </w:r>
          <w:r w:rsidR="002E0D97">
            <w:rPr>
              <w:rFonts w:ascii="Arial" w:hAnsi="Arial" w:cs="Arial"/>
              <w:sz w:val="20"/>
              <w:szCs w:val="20"/>
            </w:rPr>
            <w:t>Avoid heat and shock or friction when handling.</w:t>
          </w:r>
        </w:p>
        <w:p w14:paraId="75EAF5D1" w14:textId="61C6C7A5" w:rsidR="00C406D4" w:rsidRPr="00471562" w:rsidRDefault="00352F12" w:rsidP="00352F12">
          <w:pPr>
            <w:rPr>
              <w:rFonts w:ascii="Arial" w:hAnsi="Arial" w:cs="Arial"/>
              <w:sz w:val="20"/>
              <w:szCs w:val="20"/>
            </w:rPr>
          </w:pPr>
          <w:r w:rsidRPr="00A775FE">
            <w:rPr>
              <w:rFonts w:ascii="Arial" w:hAnsi="Arial" w:cs="Arial"/>
              <w:b/>
              <w:sz w:val="20"/>
              <w:szCs w:val="20"/>
            </w:rPr>
            <w:lastRenderedPageBreak/>
            <w:t>Conditions for safe storage: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</w:t>
          </w:r>
          <w:r w:rsidR="009D704C" w:rsidRPr="00352F12">
            <w:rPr>
              <w:rFonts w:ascii="Arial" w:hAnsi="Arial" w:cs="Arial"/>
              <w:sz w:val="20"/>
              <w:szCs w:val="20"/>
            </w:rPr>
            <w:t>Flammable materials should be stored in a separate s</w:t>
          </w:r>
          <w:r w:rsidR="009D704C">
            <w:rPr>
              <w:rFonts w:ascii="Arial" w:hAnsi="Arial" w:cs="Arial"/>
              <w:sz w:val="20"/>
              <w:szCs w:val="20"/>
            </w:rPr>
            <w:t xml:space="preserve">afety storage cabinet or room. </w:t>
          </w:r>
          <w:r w:rsidR="009D704C"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 w:rsidR="009D704C">
            <w:rPr>
              <w:rFonts w:ascii="Arial" w:hAnsi="Arial" w:cs="Arial"/>
              <w:sz w:val="20"/>
              <w:szCs w:val="20"/>
            </w:rPr>
            <w:t>a cool, dry, and well-ventilated</w:t>
          </w:r>
          <w:r w:rsidR="00A775FE">
            <w:rPr>
              <w:rFonts w:ascii="Arial" w:hAnsi="Arial" w:cs="Arial"/>
              <w:sz w:val="20"/>
              <w:szCs w:val="20"/>
            </w:rPr>
            <w:t xml:space="preserve"> area</w:t>
          </w:r>
          <w:r w:rsidR="009D704C"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sz w:val="20"/>
              <w:szCs w:val="20"/>
            </w:rPr>
            <w:t xml:space="preserve">Keep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</w:t>
          </w:r>
          <w:r w:rsidRPr="008C4B9E">
            <w:rPr>
              <w:rFonts w:ascii="Arial" w:hAnsi="Arial" w:cs="Arial"/>
              <w:sz w:val="20"/>
              <w:szCs w:val="20"/>
            </w:rPr>
            <w:t>Store in original container. Store away from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C4B9E">
            <w:rPr>
              <w:rFonts w:ascii="Arial" w:hAnsi="Arial" w:cs="Arial"/>
              <w:sz w:val="20"/>
              <w:szCs w:val="20"/>
            </w:rPr>
            <w:t>heat sources and in a flame</w:t>
          </w:r>
          <w:r w:rsidR="00A775FE">
            <w:rPr>
              <w:rFonts w:ascii="Arial" w:hAnsi="Arial" w:cs="Arial"/>
              <w:sz w:val="20"/>
              <w:szCs w:val="20"/>
            </w:rPr>
            <w:t>-</w:t>
          </w:r>
          <w:r w:rsidRPr="008C4B9E">
            <w:rPr>
              <w:rFonts w:ascii="Arial" w:hAnsi="Arial" w:cs="Arial"/>
              <w:sz w:val="20"/>
              <w:szCs w:val="20"/>
            </w:rPr>
            <w:t xml:space="preserve">proof area.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1C794B8" w14:textId="5BEC0E58" w:rsidR="00E7785C" w:rsidRDefault="00E7785C" w:rsidP="00E7785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0A13687" w14:textId="77777777" w:rsidR="00E7785C" w:rsidRPr="00600ABB" w:rsidRDefault="00E7785C" w:rsidP="00E7785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3B5B12A" w14:textId="77777777" w:rsidR="00E7785C" w:rsidRDefault="00E7785C" w:rsidP="00E778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C5A3CBF" w14:textId="77777777" w:rsidR="00E7785C" w:rsidRDefault="00E7785C" w:rsidP="00E77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CD956D5" w14:textId="77777777" w:rsidR="00E7785C" w:rsidRPr="00C94889" w:rsidRDefault="00E7785C" w:rsidP="00E77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8E51581" w14:textId="77777777" w:rsidR="00E7785C" w:rsidRDefault="00E7785C" w:rsidP="00E7785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EE9592B" w14:textId="2F8F7B18" w:rsidR="00E7785C" w:rsidRDefault="00E7785C" w:rsidP="00A775FE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Life Threatening Em</w:t>
      </w:r>
      <w:r w:rsidR="00A775FE">
        <w:rPr>
          <w:rFonts w:ascii="Arial" w:hAnsi="Arial" w:cs="Arial"/>
          <w:b/>
          <w:sz w:val="20"/>
          <w:szCs w:val="20"/>
        </w:rPr>
        <w:t>ergency, After Hours, Weekends 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A775FE">
        <w:rPr>
          <w:rFonts w:ascii="Arial" w:hAnsi="Arial" w:cs="Arial"/>
          <w:sz w:val="20"/>
          <w:szCs w:val="20"/>
        </w:rPr>
        <w:t>al and Laboratory Safety Manual.</w:t>
      </w:r>
    </w:p>
    <w:p w14:paraId="290E7D2C" w14:textId="77777777" w:rsidR="00E7785C" w:rsidRPr="00265CA6" w:rsidRDefault="00E7785C" w:rsidP="00E7785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BE4BD74" w14:textId="3A2EFC66" w:rsidR="00E7785C" w:rsidRDefault="00E7785C" w:rsidP="00E778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A775FE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144D506" w14:textId="77777777" w:rsidR="00E7785C" w:rsidRPr="00265CA6" w:rsidRDefault="00E7785C" w:rsidP="00E7785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6779B2D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B8EB5F3" w14:textId="77777777" w:rsidR="00872DF4" w:rsidRPr="00F17523" w:rsidRDefault="00872DF4" w:rsidP="00872DF4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2CF6C1A" w14:textId="5B1469CA" w:rsidR="00872DF4" w:rsidRPr="00872DF4" w:rsidRDefault="00872DF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105FEA00" w:rsidR="00471562" w:rsidRDefault="00A775F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72DF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CEBB27A" w14:textId="77777777" w:rsidR="00872DF4" w:rsidRPr="00AF1F08" w:rsidRDefault="00872DF4" w:rsidP="00872DF4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C0ED3CF" w14:textId="77777777" w:rsidR="00A775FE" w:rsidRDefault="00A77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28D2DA56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775F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E20707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75FE">
        <w:rPr>
          <w:rFonts w:ascii="Arial" w:hAnsi="Arial" w:cs="Arial"/>
          <w:sz w:val="20"/>
          <w:szCs w:val="20"/>
        </w:rPr>
        <w:t>p</w:t>
      </w:r>
      <w:r w:rsidR="00F45D34" w:rsidRPr="00F45D34">
        <w:rPr>
          <w:rFonts w:ascii="Arial" w:eastAsia="Times New Roman" w:hAnsi="Arial" w:cs="Arial"/>
          <w:color w:val="000000"/>
          <w:sz w:val="20"/>
          <w:szCs w:val="20"/>
        </w:rPr>
        <w:t>henylhydrazine</w:t>
      </w:r>
      <w:proofErr w:type="spellEnd"/>
      <w:r w:rsidR="003814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A775FE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5B23F" w14:textId="61E7FED4" w:rsidR="002C0267" w:rsidRPr="00514382" w:rsidRDefault="002C0267" w:rsidP="002C02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A775FE">
        <w:rPr>
          <w:rFonts w:ascii="Arial" w:hAnsi="Arial" w:cs="Arial"/>
          <w:sz w:val="20"/>
          <w:szCs w:val="20"/>
        </w:rPr>
        <w:t xml:space="preserve"> provided by the manufacturer.</w:t>
      </w:r>
    </w:p>
    <w:p w14:paraId="1D4407F2" w14:textId="77777777" w:rsidR="002C0267" w:rsidRPr="00514382" w:rsidRDefault="002C0267" w:rsidP="002C02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F18D2E" w14:textId="21C94C87" w:rsidR="002C0267" w:rsidRPr="00514382" w:rsidRDefault="002C0267" w:rsidP="002C02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A775FE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14:paraId="01E4C2F9" w14:textId="6F36C62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C4E723A" w14:textId="77777777" w:rsidR="00A60355" w:rsidRDefault="00A60355" w:rsidP="00A60355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880D73D" w14:textId="77777777" w:rsidR="00A60355" w:rsidRDefault="00A60355" w:rsidP="00A6035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1CE1388" w14:textId="77777777" w:rsidR="00A60355" w:rsidRDefault="00A60355" w:rsidP="00A6035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9D0101E" w14:textId="77777777" w:rsidR="00A60355" w:rsidRDefault="00A60355" w:rsidP="00A6035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1"/>
    <w:p w14:paraId="235D1054" w14:textId="77777777" w:rsidR="00A60355" w:rsidRDefault="00A6035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739C3" w14:textId="77777777" w:rsidR="001B057C" w:rsidRDefault="001B057C" w:rsidP="00E83E8B">
      <w:pPr>
        <w:spacing w:after="0" w:line="240" w:lineRule="auto"/>
      </w:pPr>
      <w:r>
        <w:separator/>
      </w:r>
    </w:p>
  </w:endnote>
  <w:endnote w:type="continuationSeparator" w:id="0">
    <w:p w14:paraId="2CDA99A4" w14:textId="77777777" w:rsidR="001B057C" w:rsidRDefault="001B057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F6B6D3B" w:rsidR="00972CE1" w:rsidRPr="00A775FE" w:rsidRDefault="00A775F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F45D34" w:rsidRPr="00A775FE">
          <w:rPr>
            <w:rFonts w:ascii="Arial" w:eastAsia="Times New Roman" w:hAnsi="Arial" w:cs="Arial"/>
            <w:color w:val="000000"/>
            <w:sz w:val="18"/>
            <w:szCs w:val="18"/>
          </w:rPr>
          <w:t>Phenylhydrazine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A775FE">
          <w:rPr>
            <w:rFonts w:ascii="Arial" w:hAnsi="Arial" w:cs="Arial"/>
            <w:sz w:val="18"/>
            <w:szCs w:val="18"/>
          </w:rPr>
          <w:tab/>
        </w:r>
        <w:r w:rsidR="00D50E25" w:rsidRPr="00A775F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50E25" w:rsidRPr="00A775FE">
          <w:rPr>
            <w:rFonts w:ascii="Arial" w:hAnsi="Arial" w:cs="Arial"/>
            <w:bCs/>
            <w:sz w:val="18"/>
            <w:szCs w:val="18"/>
          </w:rPr>
          <w:fldChar w:fldCharType="begin"/>
        </w:r>
        <w:r w:rsidR="00D50E25" w:rsidRPr="00A775F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50E25" w:rsidRPr="00A775F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D50E25" w:rsidRPr="00A775FE">
          <w:rPr>
            <w:rFonts w:ascii="Arial" w:hAnsi="Arial" w:cs="Arial"/>
            <w:bCs/>
            <w:sz w:val="18"/>
            <w:szCs w:val="18"/>
          </w:rPr>
          <w:fldChar w:fldCharType="end"/>
        </w:r>
        <w:r w:rsidR="00D50E25" w:rsidRPr="00A775FE">
          <w:rPr>
            <w:rFonts w:ascii="Arial" w:hAnsi="Arial" w:cs="Arial"/>
            <w:sz w:val="18"/>
            <w:szCs w:val="18"/>
          </w:rPr>
          <w:t xml:space="preserve"> of </w:t>
        </w:r>
        <w:r w:rsidR="00D50E25" w:rsidRPr="00A775FE">
          <w:rPr>
            <w:rFonts w:ascii="Arial" w:hAnsi="Arial" w:cs="Arial"/>
            <w:bCs/>
            <w:sz w:val="18"/>
            <w:szCs w:val="18"/>
          </w:rPr>
          <w:fldChar w:fldCharType="begin"/>
        </w:r>
        <w:r w:rsidR="00D50E25" w:rsidRPr="00A775F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50E25" w:rsidRPr="00A775F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50E25" w:rsidRPr="00A775F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A775FE">
          <w:rPr>
            <w:rFonts w:ascii="Arial" w:hAnsi="Arial" w:cs="Arial"/>
            <w:noProof/>
            <w:sz w:val="18"/>
            <w:szCs w:val="18"/>
          </w:rPr>
          <w:tab/>
        </w:r>
        <w:r w:rsidRPr="00A775FE">
          <w:rPr>
            <w:rFonts w:ascii="Arial" w:hAnsi="Arial" w:cs="Arial"/>
            <w:noProof/>
            <w:sz w:val="18"/>
            <w:szCs w:val="18"/>
          </w:rPr>
          <w:t>Date: 11/8/2017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391349D" w:rsidR="00972CE1" w:rsidRPr="00D50E25" w:rsidRDefault="0014632D" w:rsidP="0014632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4880350"/>
    <w:bookmarkStart w:id="13" w:name="_Hlk495667445"/>
    <w:bookmarkStart w:id="14" w:name="_Hlk495667446"/>
    <w:bookmarkStart w:id="15" w:name="_Hlk495667447"/>
    <w:bookmarkStart w:id="16" w:name="_Hlk495906302"/>
    <w:bookmarkStart w:id="17" w:name="_Hlk495906303"/>
    <w:bookmarkStart w:id="18" w:name="_Hlk495906304"/>
    <w:bookmarkStart w:id="19" w:name="_Hlk495906383"/>
    <w:bookmarkStart w:id="20" w:name="_Hlk495906384"/>
    <w:bookmarkStart w:id="21" w:name="_Hlk495906385"/>
    <w:bookmarkStart w:id="22" w:name="_Hlk495906850"/>
    <w:bookmarkStart w:id="23" w:name="_Hlk495906851"/>
    <w:bookmarkStart w:id="24" w:name="_Hlk495906852"/>
    <w:bookmarkStart w:id="25" w:name="_Hlk495907417"/>
    <w:bookmarkStart w:id="26" w:name="_Hlk495907418"/>
    <w:bookmarkStart w:id="27" w:name="_Hlk495907419"/>
    <w:bookmarkStart w:id="28" w:name="_Hlk496184166"/>
    <w:bookmarkStart w:id="29" w:name="_Hlk496184167"/>
    <w:bookmarkStart w:id="30" w:name="_Hlk496184168"/>
    <w:bookmarkStart w:id="31" w:name="_Hlk496192108"/>
    <w:bookmarkStart w:id="32" w:name="_Hlk496192109"/>
    <w:bookmarkStart w:id="33" w:name="_Hlk496192110"/>
    <w:bookmarkStart w:id="34" w:name="_Hlk496263348"/>
    <w:bookmarkStart w:id="35" w:name="_Hlk496263349"/>
    <w:bookmarkStart w:id="36" w:name="_Hlk496263350"/>
    <w:bookmarkStart w:id="37" w:name="_Hlk496794025"/>
    <w:bookmarkStart w:id="38" w:name="_Hlk496794026"/>
    <w:bookmarkStart w:id="39" w:name="_Hlk496794027"/>
    <w:bookmarkStart w:id="40" w:name="_Hlk497387476"/>
    <w:bookmarkStart w:id="41" w:name="_Hlk497387477"/>
    <w:bookmarkStart w:id="42" w:name="_Hlk497387478"/>
    <w:bookmarkStart w:id="43" w:name="_Hlk497395182"/>
    <w:bookmarkStart w:id="44" w:name="_Hlk497395183"/>
    <w:bookmarkStart w:id="45" w:name="_Hlk497395184"/>
    <w:bookmarkStart w:id="46" w:name="_Hlk497397680"/>
    <w:bookmarkStart w:id="47" w:name="_Hlk497397681"/>
    <w:bookmarkStart w:id="48" w:name="_Hlk497397682"/>
    <w:bookmarkStart w:id="49" w:name="_Hlk497401030"/>
    <w:bookmarkStart w:id="50" w:name="_Hlk497401031"/>
    <w:bookmarkStart w:id="51" w:name="_Hlk497401032"/>
    <w:bookmarkStart w:id="52" w:name="_Hlk497461037"/>
    <w:bookmarkStart w:id="53" w:name="_Hlk497461038"/>
    <w:bookmarkStart w:id="54" w:name="_Hlk497461039"/>
    <w:bookmarkStart w:id="55" w:name="_Hlk497461068"/>
    <w:bookmarkStart w:id="56" w:name="_Hlk497461069"/>
    <w:bookmarkStart w:id="57" w:name="_Hlk497461070"/>
    <w:bookmarkStart w:id="58" w:name="_Hlk497461090"/>
    <w:bookmarkStart w:id="59" w:name="_Hlk497461091"/>
    <w:bookmarkStart w:id="60" w:name="_Hlk497461092"/>
    <w:bookmarkStart w:id="61" w:name="_Hlk497461102"/>
    <w:bookmarkStart w:id="62" w:name="_Hlk497461103"/>
    <w:bookmarkStart w:id="63" w:name="_Hlk497461104"/>
    <w:bookmarkStart w:id="64" w:name="_Hlk497461119"/>
    <w:bookmarkStart w:id="65" w:name="_Hlk497461120"/>
    <w:bookmarkStart w:id="66" w:name="_Hlk497461121"/>
    <w:bookmarkStart w:id="67" w:name="_Hlk497461132"/>
    <w:bookmarkStart w:id="68" w:name="_Hlk497461133"/>
    <w:bookmarkStart w:id="69" w:name="_Hlk497461134"/>
    <w:bookmarkStart w:id="70" w:name="_Hlk497461147"/>
    <w:bookmarkStart w:id="71" w:name="_Hlk497461148"/>
    <w:bookmarkStart w:id="72" w:name="_Hlk497461149"/>
    <w:bookmarkStart w:id="73" w:name="_Hlk497461162"/>
    <w:bookmarkStart w:id="74" w:name="_Hlk497461163"/>
    <w:bookmarkStart w:id="75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3BA2" w14:textId="77777777" w:rsidR="001B057C" w:rsidRDefault="001B057C" w:rsidP="00E83E8B">
      <w:pPr>
        <w:spacing w:after="0" w:line="240" w:lineRule="auto"/>
      </w:pPr>
      <w:r>
        <w:separator/>
      </w:r>
    </w:p>
  </w:footnote>
  <w:footnote w:type="continuationSeparator" w:id="0">
    <w:p w14:paraId="6D0F2EEC" w14:textId="77777777" w:rsidR="001B057C" w:rsidRDefault="001B057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B1B7" w14:textId="77777777" w:rsidR="00A775FE" w:rsidRDefault="00A775FE">
    <w:pPr>
      <w:pStyle w:val="Header"/>
      <w:rPr>
        <w:noProof/>
      </w:rPr>
    </w:pPr>
  </w:p>
  <w:p w14:paraId="58BE1B44" w14:textId="47AC005C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A775FE">
      <w:rPr>
        <w:noProof/>
      </w:rPr>
      <w:drawing>
        <wp:anchor distT="0" distB="0" distL="114300" distR="114300" simplePos="0" relativeHeight="251659264" behindDoc="0" locked="0" layoutInCell="1" allowOverlap="1" wp14:anchorId="2C9699D2" wp14:editId="5260D87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0DA7F6D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AC4CEB"/>
    <w:multiLevelType w:val="multilevel"/>
    <w:tmpl w:val="298EA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20D9A"/>
    <w:rsid w:val="0014632D"/>
    <w:rsid w:val="001932B2"/>
    <w:rsid w:val="001B057C"/>
    <w:rsid w:val="001C51C3"/>
    <w:rsid w:val="001D0366"/>
    <w:rsid w:val="00223B02"/>
    <w:rsid w:val="00242D35"/>
    <w:rsid w:val="00253494"/>
    <w:rsid w:val="00263ED1"/>
    <w:rsid w:val="00265CA6"/>
    <w:rsid w:val="00293660"/>
    <w:rsid w:val="002A11BF"/>
    <w:rsid w:val="002C0267"/>
    <w:rsid w:val="002E0D97"/>
    <w:rsid w:val="00315CB3"/>
    <w:rsid w:val="00352F12"/>
    <w:rsid w:val="00366414"/>
    <w:rsid w:val="00366DA6"/>
    <w:rsid w:val="00381437"/>
    <w:rsid w:val="003904D4"/>
    <w:rsid w:val="003950E9"/>
    <w:rsid w:val="003F564F"/>
    <w:rsid w:val="00426401"/>
    <w:rsid w:val="00427421"/>
    <w:rsid w:val="00452088"/>
    <w:rsid w:val="00471562"/>
    <w:rsid w:val="004929A2"/>
    <w:rsid w:val="004A5EA5"/>
    <w:rsid w:val="00507560"/>
    <w:rsid w:val="0052121D"/>
    <w:rsid w:val="00530E90"/>
    <w:rsid w:val="005643E6"/>
    <w:rsid w:val="00637757"/>
    <w:rsid w:val="00657ED6"/>
    <w:rsid w:val="00672441"/>
    <w:rsid w:val="00693D76"/>
    <w:rsid w:val="007268C5"/>
    <w:rsid w:val="00734BB8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2DF4"/>
    <w:rsid w:val="008763CA"/>
    <w:rsid w:val="00891D4B"/>
    <w:rsid w:val="008A2498"/>
    <w:rsid w:val="008C4AEC"/>
    <w:rsid w:val="008C4B9E"/>
    <w:rsid w:val="008F73D6"/>
    <w:rsid w:val="00917F75"/>
    <w:rsid w:val="00922AA9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60355"/>
    <w:rsid w:val="00A775FE"/>
    <w:rsid w:val="00A874A1"/>
    <w:rsid w:val="00AF2415"/>
    <w:rsid w:val="00B4188D"/>
    <w:rsid w:val="00B50CCA"/>
    <w:rsid w:val="00B6326D"/>
    <w:rsid w:val="00C060FA"/>
    <w:rsid w:val="00C142A7"/>
    <w:rsid w:val="00C266E8"/>
    <w:rsid w:val="00C406D4"/>
    <w:rsid w:val="00CD010E"/>
    <w:rsid w:val="00CF3CB2"/>
    <w:rsid w:val="00D00746"/>
    <w:rsid w:val="00D479EA"/>
    <w:rsid w:val="00D50E25"/>
    <w:rsid w:val="00D61C24"/>
    <w:rsid w:val="00D8294B"/>
    <w:rsid w:val="00DA21D9"/>
    <w:rsid w:val="00DB70FD"/>
    <w:rsid w:val="00DC39EF"/>
    <w:rsid w:val="00E10CA5"/>
    <w:rsid w:val="00E706C6"/>
    <w:rsid w:val="00E7785C"/>
    <w:rsid w:val="00E83E8B"/>
    <w:rsid w:val="00E842B3"/>
    <w:rsid w:val="00F212B5"/>
    <w:rsid w:val="00F45D34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0E080B6-47C2-4508-8E39-8074AF2B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444AB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641C-8B7A-4640-A5DC-3825FAE1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2017-08-09T13:47:00Z</dcterms:created>
  <dcterms:modified xsi:type="dcterms:W3CDTF">2017-11-08T20:35:00Z</dcterms:modified>
</cp:coreProperties>
</file>