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112038D" w14:textId="199F2748" w:rsidR="00A45CE0" w:rsidRPr="00A45CE0" w:rsidRDefault="00A45CE0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A45CE0">
        <w:rPr>
          <w:rFonts w:ascii="Arial" w:hAnsi="Arial" w:cs="Arial"/>
          <w:color w:val="000000" w:themeColor="text1"/>
          <w:sz w:val="36"/>
          <w:szCs w:val="36"/>
        </w:rPr>
        <w:t>Maneb</w:t>
      </w:r>
      <w:proofErr w:type="spellEnd"/>
    </w:p>
    <w:p w14:paraId="7B604C8D" w14:textId="5C20CAD4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F40BF8" w14:textId="08A08968" w:rsidR="00E33613" w:rsidRPr="007E15EA" w:rsidRDefault="007E15EA" w:rsidP="00CC0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Maneb</w:t>
      </w:r>
      <w:proofErr w:type="spellEnd"/>
      <w:r w:rsidR="00C13828" w:rsidRPr="00E7666B">
        <w:rPr>
          <w:rFonts w:ascii="Arial" w:eastAsia="Times New Roman" w:hAnsi="Arial" w:cs="Arial"/>
          <w:sz w:val="20"/>
          <w:szCs w:val="20"/>
        </w:rPr>
        <w:t xml:space="preserve"> </w:t>
      </w:r>
      <w:r w:rsidR="00CC0398" w:rsidRPr="00E7666B">
        <w:rPr>
          <w:rFonts w:ascii="Arial" w:eastAsia="Times New Roman" w:hAnsi="Arial" w:cs="Arial"/>
          <w:sz w:val="20"/>
          <w:szCs w:val="20"/>
        </w:rPr>
        <w:t>is</w:t>
      </w:r>
      <w:r w:rsidR="002677E7" w:rsidRPr="00E7666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7666B" w:rsidRPr="00E7666B">
        <w:rPr>
          <w:rFonts w:ascii="Arial" w:eastAsia="Times New Roman" w:hAnsi="Arial" w:cs="Arial"/>
          <w:sz w:val="20"/>
          <w:szCs w:val="20"/>
        </w:rPr>
        <w:t xml:space="preserve">an </w:t>
      </w:r>
      <w:r w:rsidR="00E7666B" w:rsidRPr="00E7666B">
        <w:rPr>
          <w:rFonts w:ascii="Arial" w:eastAsia="Times New Roman" w:hAnsi="Arial" w:cs="Arial"/>
          <w:b/>
          <w:sz w:val="20"/>
          <w:szCs w:val="20"/>
        </w:rPr>
        <w:t xml:space="preserve">irritant, </w:t>
      </w:r>
      <w:r>
        <w:rPr>
          <w:rFonts w:ascii="Arial" w:eastAsia="Times New Roman" w:hAnsi="Arial" w:cs="Arial"/>
          <w:b/>
          <w:sz w:val="20"/>
          <w:szCs w:val="20"/>
        </w:rPr>
        <w:t>water reactive</w:t>
      </w:r>
      <w:r w:rsidR="00E7666B" w:rsidRPr="00E7666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7666B" w:rsidRPr="00E7666B">
        <w:rPr>
          <w:rFonts w:ascii="Arial" w:eastAsia="Times New Roman" w:hAnsi="Arial" w:cs="Arial"/>
          <w:sz w:val="20"/>
          <w:szCs w:val="20"/>
        </w:rPr>
        <w:t xml:space="preserve">and </w:t>
      </w:r>
      <w:r>
        <w:rPr>
          <w:rFonts w:ascii="Arial" w:eastAsia="Times New Roman" w:hAnsi="Arial" w:cs="Arial"/>
          <w:b/>
          <w:sz w:val="20"/>
          <w:szCs w:val="20"/>
        </w:rPr>
        <w:t>teratogen</w:t>
      </w:r>
      <w:r w:rsidR="00E7666B" w:rsidRPr="00E7666B">
        <w:rPr>
          <w:rFonts w:ascii="Arial" w:eastAsia="Times New Roman" w:hAnsi="Arial" w:cs="Arial"/>
          <w:b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Can emit a flammable gas when in the presence of water, avoid heat or sources of ignition. </w:t>
      </w:r>
      <w:r w:rsidRPr="007E15EA">
        <w:rPr>
          <w:rFonts w:ascii="Arial" w:eastAsia="Times New Roman" w:hAnsi="Arial" w:cs="Arial"/>
          <w:sz w:val="20"/>
          <w:szCs w:val="20"/>
        </w:rPr>
        <w:t>Suspected of damaging fertility or the unborn child.</w:t>
      </w:r>
    </w:p>
    <w:p w14:paraId="0B445F72" w14:textId="77777777" w:rsidR="00A44604" w:rsidRPr="00E7666B" w:rsidRDefault="00A44604" w:rsidP="001E1098">
      <w:pPr>
        <w:pStyle w:val="HTMLPreformatted"/>
        <w:rPr>
          <w:rFonts w:ascii="Arial" w:hAnsi="Arial" w:cs="Arial"/>
          <w:color w:val="000000"/>
        </w:rPr>
      </w:pPr>
    </w:p>
    <w:p w14:paraId="3FEDE51C" w14:textId="55CF3C24" w:rsidR="00A44604" w:rsidRPr="00E7666B" w:rsidRDefault="00D12475" w:rsidP="00A44604">
      <w:pPr>
        <w:pStyle w:val="HTMLPreformatted"/>
        <w:rPr>
          <w:rFonts w:ascii="Arial" w:hAnsi="Arial" w:cs="Arial"/>
          <w:color w:val="000000"/>
        </w:rPr>
      </w:pPr>
      <w:r w:rsidRPr="00E7666B">
        <w:rPr>
          <w:rFonts w:ascii="Arial" w:hAnsi="Arial" w:cs="Arial"/>
          <w:color w:val="000000"/>
        </w:rPr>
        <w:t>May be</w:t>
      </w:r>
      <w:r w:rsidR="002006B0" w:rsidRPr="00E7666B">
        <w:rPr>
          <w:rFonts w:ascii="Arial" w:hAnsi="Arial" w:cs="Arial"/>
          <w:color w:val="000000"/>
        </w:rPr>
        <w:t xml:space="preserve"> </w:t>
      </w:r>
      <w:r w:rsidR="000667C6" w:rsidRPr="00E7666B">
        <w:rPr>
          <w:rFonts w:ascii="Arial" w:hAnsi="Arial" w:cs="Arial"/>
          <w:color w:val="000000"/>
        </w:rPr>
        <w:t>h</w:t>
      </w:r>
      <w:r w:rsidR="00C56884" w:rsidRPr="00E7666B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E7666B">
        <w:rPr>
          <w:rFonts w:ascii="Arial" w:hAnsi="Arial" w:cs="Arial"/>
          <w:color w:val="000000"/>
        </w:rPr>
        <w:t xml:space="preserve">Can </w:t>
      </w:r>
      <w:r w:rsidRPr="00E7666B">
        <w:rPr>
          <w:rFonts w:ascii="Arial" w:hAnsi="Arial" w:cs="Arial"/>
          <w:color w:val="000000"/>
        </w:rPr>
        <w:t xml:space="preserve">cause </w:t>
      </w:r>
      <w:r w:rsidR="00C56884" w:rsidRPr="00E7666B">
        <w:rPr>
          <w:rFonts w:ascii="Arial" w:hAnsi="Arial" w:cs="Arial"/>
          <w:color w:val="000000"/>
        </w:rPr>
        <w:t xml:space="preserve">eye </w:t>
      </w:r>
      <w:r w:rsidR="00A945E8" w:rsidRPr="00E7666B">
        <w:rPr>
          <w:rFonts w:ascii="Arial" w:hAnsi="Arial" w:cs="Arial"/>
          <w:color w:val="000000"/>
        </w:rPr>
        <w:t xml:space="preserve">and skin </w:t>
      </w:r>
      <w:r w:rsidRPr="00E7666B">
        <w:rPr>
          <w:rFonts w:ascii="Arial" w:hAnsi="Arial" w:cs="Arial"/>
          <w:color w:val="000000"/>
        </w:rPr>
        <w:t>irritation.</w:t>
      </w:r>
    </w:p>
    <w:p w14:paraId="5B422929" w14:textId="2B0F9E0B" w:rsidR="00E7666B" w:rsidRPr="007E15EA" w:rsidRDefault="007E15EA" w:rsidP="007E15E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Is used as an </w:t>
      </w:r>
      <w:r w:rsidRPr="007E15EA">
        <w:rPr>
          <w:rFonts w:ascii="Arial" w:hAnsi="Arial" w:cs="Arial"/>
          <w:color w:val="222222"/>
          <w:sz w:val="20"/>
          <w:szCs w:val="20"/>
        </w:rPr>
        <w:t xml:space="preserve">agricultural </w:t>
      </w:r>
      <w:proofErr w:type="gramStart"/>
      <w:r w:rsidRPr="007E15EA">
        <w:rPr>
          <w:rFonts w:ascii="Arial" w:hAnsi="Arial" w:cs="Arial"/>
          <w:color w:val="222222"/>
          <w:sz w:val="20"/>
          <w:szCs w:val="20"/>
        </w:rPr>
        <w:t>fungicide.</w:t>
      </w:r>
      <w:proofErr w:type="gramEnd"/>
      <w:r w:rsidRPr="007E15E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DAC0383" w14:textId="1D7167A6" w:rsidR="007E15EA" w:rsidRPr="007E15EA" w:rsidRDefault="007E15EA" w:rsidP="007E15EA">
      <w:pPr>
        <w:rPr>
          <w:rFonts w:ascii="Arial" w:eastAsia="Times New Roman" w:hAnsi="Arial" w:cs="Arial"/>
          <w:sz w:val="20"/>
          <w:szCs w:val="20"/>
        </w:rPr>
      </w:pPr>
      <w:r w:rsidRPr="007E15EA">
        <w:rPr>
          <w:rFonts w:ascii="Arial" w:hAnsi="Arial" w:cs="Arial"/>
          <w:color w:val="222222"/>
          <w:sz w:val="20"/>
          <w:szCs w:val="20"/>
        </w:rPr>
        <w:t xml:space="preserve">Also known as </w:t>
      </w:r>
      <w:r w:rsidRPr="007E15EA">
        <w:rPr>
          <w:rFonts w:ascii="Arial" w:eastAsia="Times New Roman" w:hAnsi="Arial" w:cs="Arial"/>
          <w:color w:val="000000"/>
          <w:sz w:val="20"/>
          <w:szCs w:val="20"/>
        </w:rPr>
        <w:t xml:space="preserve">Ethylene </w:t>
      </w:r>
      <w:proofErr w:type="spellStart"/>
      <w:proofErr w:type="gramStart"/>
      <w:r w:rsidRPr="007E15EA">
        <w:rPr>
          <w:rFonts w:ascii="Arial" w:eastAsia="Times New Roman" w:hAnsi="Arial" w:cs="Arial"/>
          <w:color w:val="000000"/>
          <w:sz w:val="20"/>
          <w:szCs w:val="20"/>
        </w:rPr>
        <w:t>bis</w:t>
      </w:r>
      <w:proofErr w:type="spellEnd"/>
      <w:r w:rsidRPr="007E15EA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proofErr w:type="gramEnd"/>
      <w:r w:rsidRPr="007E15EA">
        <w:rPr>
          <w:rFonts w:ascii="Arial" w:eastAsia="Times New Roman" w:hAnsi="Arial" w:cs="Arial"/>
          <w:color w:val="000000"/>
          <w:sz w:val="20"/>
          <w:szCs w:val="20"/>
        </w:rPr>
        <w:t>dithiocarbamic</w:t>
      </w:r>
      <w:proofErr w:type="spellEnd"/>
      <w:r w:rsidRPr="007E15EA">
        <w:rPr>
          <w:rFonts w:ascii="Arial" w:eastAsia="Times New Roman" w:hAnsi="Arial" w:cs="Arial"/>
          <w:color w:val="000000"/>
          <w:sz w:val="20"/>
          <w:szCs w:val="20"/>
        </w:rPr>
        <w:t xml:space="preserve"> acid)-manganese salt.</w:t>
      </w:r>
    </w:p>
    <w:p w14:paraId="14320168" w14:textId="77777777" w:rsidR="00E7666B" w:rsidRDefault="00E7666B" w:rsidP="002038B8">
      <w:pPr>
        <w:rPr>
          <w:rFonts w:ascii="Arial" w:hAnsi="Arial" w:cs="Arial"/>
          <w:b/>
          <w:sz w:val="20"/>
          <w:szCs w:val="20"/>
        </w:rPr>
      </w:pPr>
    </w:p>
    <w:p w14:paraId="22A21736" w14:textId="77777777" w:rsidR="007E15EA" w:rsidRDefault="007E15EA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7E0205" w:rsidRDefault="00C406D4" w:rsidP="002038B8">
      <w:pPr>
        <w:rPr>
          <w:rFonts w:ascii="Arial" w:hAnsi="Arial" w:cs="Arial"/>
          <w:b/>
          <w:sz w:val="20"/>
          <w:szCs w:val="20"/>
        </w:rPr>
      </w:pPr>
      <w:r w:rsidRPr="007E0205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72F67559" w:rsidR="00CC0398" w:rsidRPr="007E0205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7E0205">
        <w:rPr>
          <w:rFonts w:ascii="Arial" w:hAnsi="Arial" w:cs="Arial"/>
          <w:sz w:val="20"/>
          <w:szCs w:val="20"/>
        </w:rPr>
        <w:t xml:space="preserve">CAS#: </w:t>
      </w:r>
      <w:r w:rsidR="007E15EA" w:rsidRPr="007E02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12427-38-2</w:t>
      </w:r>
    </w:p>
    <w:p w14:paraId="4B8FE3B1" w14:textId="2627DD2C" w:rsidR="00D8294B" w:rsidRPr="007E0205" w:rsidRDefault="00F02A25" w:rsidP="00A44604">
      <w:pPr>
        <w:rPr>
          <w:rFonts w:ascii="Arial" w:hAnsi="Arial" w:cs="Arial"/>
          <w:sz w:val="20"/>
          <w:szCs w:val="20"/>
        </w:rPr>
      </w:pPr>
      <w:r w:rsidRPr="007E0205">
        <w:rPr>
          <w:rFonts w:ascii="Arial" w:hAnsi="Arial" w:cs="Arial"/>
          <w:sz w:val="20"/>
          <w:szCs w:val="20"/>
        </w:rPr>
        <w:t>C</w:t>
      </w:r>
      <w:r w:rsidR="00D8294B" w:rsidRPr="007E0205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7E15EA" w:rsidRPr="007E0205">
            <w:rPr>
              <w:rFonts w:ascii="Arial" w:hAnsi="Arial" w:cs="Arial"/>
              <w:b/>
              <w:sz w:val="20"/>
              <w:szCs w:val="20"/>
              <w:u w:val="single"/>
            </w:rPr>
            <w:t>Irritant, Water reactive, Teratogen</w:t>
          </w:r>
        </w:sdtContent>
      </w:sdt>
    </w:p>
    <w:p w14:paraId="5621F004" w14:textId="523F5E91" w:rsidR="002677E7" w:rsidRPr="007E0205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7E0205">
        <w:rPr>
          <w:rFonts w:ascii="Arial" w:hAnsi="Arial" w:cs="Arial"/>
          <w:sz w:val="20"/>
          <w:szCs w:val="20"/>
        </w:rPr>
        <w:t>Molecular Formula</w:t>
      </w:r>
      <w:r w:rsidR="00CC0398" w:rsidRPr="007E0205">
        <w:rPr>
          <w:rFonts w:ascii="Arial" w:hAnsi="Arial" w:cs="Arial"/>
          <w:sz w:val="20"/>
          <w:szCs w:val="20"/>
        </w:rPr>
        <w:t xml:space="preserve">: </w:t>
      </w:r>
      <w:r w:rsidR="007E15EA" w:rsidRPr="007E02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7E15EA" w:rsidRPr="007E02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7E15EA" w:rsidRPr="007E02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7E15EA" w:rsidRPr="007E02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7E15EA" w:rsidRPr="007E02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MnN</w:t>
      </w:r>
      <w:r w:rsidR="007E15EA" w:rsidRPr="007E02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7E15EA" w:rsidRPr="007E02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="007E15EA" w:rsidRPr="007E02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</w:p>
    <w:p w14:paraId="3D35E5FB" w14:textId="6F01BE90" w:rsidR="00C406D4" w:rsidRPr="00C13828" w:rsidRDefault="00D8294B" w:rsidP="00E33613">
      <w:pPr>
        <w:rPr>
          <w:rFonts w:ascii="Arial" w:hAnsi="Arial" w:cs="Arial"/>
          <w:sz w:val="20"/>
          <w:szCs w:val="20"/>
        </w:rPr>
      </w:pPr>
      <w:r w:rsidRPr="007E0205">
        <w:rPr>
          <w:rFonts w:ascii="Arial" w:hAnsi="Arial" w:cs="Arial"/>
          <w:sz w:val="20"/>
          <w:szCs w:val="20"/>
        </w:rPr>
        <w:t>Form (physical state):</w:t>
      </w:r>
      <w:r w:rsidRPr="00C13828">
        <w:rPr>
          <w:rFonts w:ascii="Arial" w:hAnsi="Arial" w:cs="Arial"/>
          <w:sz w:val="20"/>
          <w:szCs w:val="20"/>
        </w:rPr>
        <w:t xml:space="preserve"> </w:t>
      </w:r>
      <w:r w:rsidR="000667C6" w:rsidRPr="00C13828">
        <w:rPr>
          <w:rFonts w:ascii="Arial" w:hAnsi="Arial" w:cs="Arial"/>
          <w:sz w:val="20"/>
          <w:szCs w:val="20"/>
        </w:rPr>
        <w:t xml:space="preserve"> </w:t>
      </w:r>
      <w:r w:rsidR="00E33613" w:rsidRPr="00C13828">
        <w:rPr>
          <w:rFonts w:ascii="Arial" w:hAnsi="Arial" w:cs="Arial"/>
          <w:sz w:val="20"/>
          <w:szCs w:val="20"/>
        </w:rPr>
        <w:t>solid</w:t>
      </w:r>
    </w:p>
    <w:p w14:paraId="57C4B030" w14:textId="641BB6D7" w:rsidR="00D8294B" w:rsidRPr="00C13828" w:rsidRDefault="00D8294B" w:rsidP="00C406D4">
      <w:pPr>
        <w:rPr>
          <w:rFonts w:ascii="Arial" w:hAnsi="Arial" w:cs="Arial"/>
          <w:sz w:val="20"/>
          <w:szCs w:val="20"/>
        </w:rPr>
      </w:pPr>
      <w:r w:rsidRPr="00C13828">
        <w:rPr>
          <w:rFonts w:ascii="Arial" w:hAnsi="Arial" w:cs="Arial"/>
          <w:sz w:val="20"/>
          <w:szCs w:val="20"/>
        </w:rPr>
        <w:t xml:space="preserve">Color: </w:t>
      </w:r>
      <w:r w:rsidR="00C13828" w:rsidRPr="00C13828">
        <w:rPr>
          <w:rFonts w:ascii="Arial" w:hAnsi="Arial" w:cs="Arial"/>
          <w:sz w:val="20"/>
          <w:szCs w:val="20"/>
        </w:rPr>
        <w:t>yellow</w:t>
      </w:r>
      <w:r w:rsidR="007E15EA">
        <w:rPr>
          <w:rFonts w:ascii="Arial" w:hAnsi="Arial" w:cs="Arial"/>
          <w:sz w:val="20"/>
          <w:szCs w:val="20"/>
        </w:rPr>
        <w:t xml:space="preserve"> to brown</w:t>
      </w:r>
    </w:p>
    <w:p w14:paraId="28BB28B2" w14:textId="234CFAE7" w:rsidR="00C06795" w:rsidRPr="00C13828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C13828">
        <w:rPr>
          <w:rFonts w:ascii="Arial" w:hAnsi="Arial" w:cs="Arial"/>
          <w:sz w:val="20"/>
          <w:szCs w:val="20"/>
        </w:rPr>
        <w:t>Boiling point</w:t>
      </w:r>
      <w:r w:rsidR="004B29A0" w:rsidRPr="00C13828">
        <w:rPr>
          <w:rFonts w:ascii="Arial" w:hAnsi="Arial" w:cs="Arial"/>
          <w:sz w:val="20"/>
          <w:szCs w:val="20"/>
        </w:rPr>
        <w:t xml:space="preserve">: </w:t>
      </w:r>
      <w:r w:rsidR="00E7666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B1A34A6" w14:textId="77777777" w:rsidR="007E15EA" w:rsidRPr="007E15EA" w:rsidRDefault="007E15EA" w:rsidP="007E15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Maneb</w:t>
                      </w:r>
                      <w:proofErr w:type="spellEnd"/>
                      <w:r w:rsidRPr="00E766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</w:t>
                      </w:r>
                      <w:r w:rsidRPr="00E7666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766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 </w:t>
                      </w:r>
                      <w:r w:rsidRPr="00E7666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irritant,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water reactive</w:t>
                      </w:r>
                      <w:r w:rsidRPr="00E7666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E7666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teratogen</w:t>
                      </w:r>
                      <w:r w:rsidRPr="00E7666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Can emit a flammable gas when in the presence of water, avoid heat or sources of ignition. </w:t>
                      </w:r>
                      <w:r w:rsidRPr="007E15E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Suspected of damaging fertility or the unborn child.</w:t>
                      </w:r>
                    </w:p>
                    <w:p w14:paraId="578B9DAE" w14:textId="24FFF9AD" w:rsidR="00C13828" w:rsidRPr="007E5167" w:rsidRDefault="00C13828" w:rsidP="00E76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22CFE38" w14:textId="77777777" w:rsidR="00C13828" w:rsidRPr="007E5167" w:rsidRDefault="00C13828" w:rsidP="00C13828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 w:rsidRPr="007E5167">
                        <w:rPr>
                          <w:rFonts w:ascii="Arial" w:hAnsi="Arial" w:cs="Arial"/>
                          <w:color w:val="000000"/>
                        </w:rPr>
                        <w:t>May be harmful by inhalation, ingestion, or skin absorption. Can cause eye and skin irritation.</w:t>
                      </w:r>
                    </w:p>
                    <w:p w14:paraId="0B02D427" w14:textId="574B0BF6" w:rsidR="007E5167" w:rsidRPr="007E5167" w:rsidRDefault="007E5167" w:rsidP="007E5167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7E516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inflammation of the skin on contact in some persons.</w:t>
                      </w:r>
                      <w:r w:rsidRPr="007E516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E516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accentuate any pre-existing dermatitis condition.</w:t>
                      </w:r>
                    </w:p>
                    <w:p w14:paraId="58D13376" w14:textId="109ABB4D" w:rsidR="002677E7" w:rsidRPr="00C13828" w:rsidRDefault="002677E7" w:rsidP="00C13828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6D33A09" w14:textId="344D560F" w:rsidR="00E7666B" w:rsidRDefault="00E7666B" w:rsidP="00E766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766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Symptoms of overexposure may be headache, dizziness, tiredness, nausea and vomiting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E766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Long-term exposure to respiratory irritants may result in disease of the airways involving difficult breathing and related systemic problems.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766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Exposure to the material may result in a possible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risk of irreversible effects. </w:t>
                      </w:r>
                    </w:p>
                    <w:p w14:paraId="2A00E830" w14:textId="77777777" w:rsidR="00E7666B" w:rsidRDefault="00E7666B" w:rsidP="00E766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7BEC429" w14:textId="485FA972" w:rsidR="000445D0" w:rsidRPr="00C13828" w:rsidRDefault="007E15EA" w:rsidP="00E766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0667C6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xposure limit data is available: </w:t>
                      </w:r>
                      <w:r w:rsidRPr="007E15E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5 mg/</w:t>
                      </w:r>
                      <w:r w:rsidRPr="007E15EA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7E15E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TWA</w:t>
                      </w:r>
                      <w:r w:rsidR="000667C6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3DA0610B" w14:textId="77777777" w:rsidR="000445D0" w:rsidRPr="00C13828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8A42D34" w14:textId="6A68DDA7" w:rsidR="00A81CBB" w:rsidRDefault="007E15EA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A945E8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410B5280" w14:textId="77777777" w:rsidR="007E15EA" w:rsidRDefault="007E15EA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40C31C0" w14:textId="21FED4FF" w:rsidR="007E15EA" w:rsidRPr="00C13828" w:rsidRDefault="007E15EA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7E15EA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7E15EA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7E15EA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Oral 3,000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[rat]</w:t>
                      </w:r>
                    </w:p>
                    <w:p w14:paraId="3373D8CC" w14:textId="4C6007DE" w:rsidR="00CC0398" w:rsidRPr="00CC0398" w:rsidRDefault="00A45CE0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F888FF4" w14:textId="77777777" w:rsidR="00476770" w:rsidRPr="003F564F" w:rsidRDefault="00476770" w:rsidP="00476770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bookmarkStart w:id="2" w:name="_Hlk496795168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35079215" w14:textId="77777777" w:rsidR="00476770" w:rsidRDefault="00476770" w:rsidP="00476770">
      <w:pPr>
        <w:pStyle w:val="NoSpacing"/>
        <w:rPr>
          <w:rFonts w:ascii="Arial" w:hAnsi="Arial" w:cs="Arial"/>
          <w:sz w:val="20"/>
          <w:szCs w:val="20"/>
        </w:rPr>
      </w:pPr>
    </w:p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9976440" w14:textId="77777777" w:rsidR="00A45CE0" w:rsidRDefault="00A45CE0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6F7B55CC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A45CE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CB3277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5EA">
        <w:rPr>
          <w:rFonts w:ascii="Arial" w:hAnsi="Arial" w:cs="Arial"/>
          <w:color w:val="222222"/>
          <w:sz w:val="20"/>
          <w:szCs w:val="20"/>
        </w:rPr>
        <w:t>Maneb</w:t>
      </w:r>
      <w:proofErr w:type="spellEnd"/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A45CE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45CE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45CE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45CE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A45CE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95CE123" w:rsidR="003F564F" w:rsidRPr="00265CA6" w:rsidRDefault="00A45CE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A45CE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A45CE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A45CE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6E62AFA5" w14:textId="77777777" w:rsidR="00A45CE0" w:rsidRDefault="00A45CE0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984A2F9" w14:textId="77777777" w:rsidR="00A45CE0" w:rsidRDefault="00A45CE0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4CE35D71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45CE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68BAB672" w:rsidR="00DF4FA9" w:rsidRDefault="00A45CE0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E15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Water reactive, </w:t>
                  </w:r>
                  <w:r w:rsidR="007E15EA">
                    <w:rPr>
                      <w:rFonts w:ascii="Arial" w:hAnsi="Arial" w:cs="Arial"/>
                      <w:sz w:val="20"/>
                      <w:szCs w:val="20"/>
                    </w:rPr>
                    <w:t xml:space="preserve">handle away from moisture.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602CC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E15EA">
                <w:rPr>
                  <w:rFonts w:ascii="Arial" w:hAnsi="Arial" w:cs="Arial"/>
                  <w:b/>
                  <w:sz w:val="20"/>
                  <w:szCs w:val="20"/>
                </w:rPr>
                <w:t xml:space="preserve">Water reactive, </w:t>
              </w:r>
              <w:r w:rsidR="007E15EA">
                <w:rPr>
                  <w:rFonts w:ascii="Arial" w:hAnsi="Arial" w:cs="Arial"/>
                  <w:sz w:val="20"/>
                  <w:szCs w:val="20"/>
                </w:rPr>
                <w:t xml:space="preserve">store away from moisture. </w:t>
              </w:r>
              <w:r w:rsidR="007E15EA" w:rsidRPr="007E15EA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7E15EA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118631B" w14:textId="77777777" w:rsidR="00A22916" w:rsidRDefault="00A22916" w:rsidP="00A2291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F9F0256" w14:textId="77777777" w:rsidR="00A22916" w:rsidRPr="00600ABB" w:rsidRDefault="00A22916" w:rsidP="00A2291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2297D14" w14:textId="77777777" w:rsidR="00A22916" w:rsidRDefault="00A22916" w:rsidP="00A2291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CB027F5" w14:textId="77777777" w:rsidR="00A22916" w:rsidRDefault="00A22916" w:rsidP="00A2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CF9A49D" w14:textId="77777777" w:rsidR="00A22916" w:rsidRPr="00C94889" w:rsidRDefault="00A22916" w:rsidP="00A2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02D073C" w14:textId="77777777" w:rsidR="00A22916" w:rsidRDefault="00A22916" w:rsidP="00A2291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A7B475D" w14:textId="77777777" w:rsidR="00A22916" w:rsidRPr="003F564F" w:rsidRDefault="00A22916" w:rsidP="00A22916">
      <w:pPr>
        <w:pStyle w:val="Heading1"/>
      </w:pPr>
    </w:p>
    <w:p w14:paraId="566D87F6" w14:textId="77777777" w:rsidR="00A22916" w:rsidRDefault="00A22916" w:rsidP="00A2291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305C5A7" w14:textId="77777777" w:rsidR="00A22916" w:rsidRPr="00265CA6" w:rsidRDefault="00A22916" w:rsidP="00A2291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F7C76FA" w14:textId="77777777" w:rsidR="00A22916" w:rsidRDefault="00A22916" w:rsidP="00A2291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4ED3074" w14:textId="77777777" w:rsidR="00A22916" w:rsidRPr="00265CA6" w:rsidRDefault="00A22916" w:rsidP="00A2291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2F3C574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AD79F14" w14:textId="77777777" w:rsidR="00BA7D41" w:rsidRPr="00F17523" w:rsidRDefault="00BA7D41" w:rsidP="00BA7D41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8ED1449" w14:textId="401B5650" w:rsidR="00BA7D41" w:rsidRPr="00BA7D41" w:rsidRDefault="00BA7D4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A45CE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3E15F160" w14:textId="77777777" w:rsidR="00A45CE0" w:rsidRDefault="00A45CE0" w:rsidP="00471562">
      <w:pPr>
        <w:rPr>
          <w:rFonts w:ascii="Arial" w:hAnsi="Arial" w:cs="Arial"/>
          <w:b/>
          <w:sz w:val="24"/>
          <w:szCs w:val="24"/>
        </w:rPr>
      </w:pPr>
    </w:p>
    <w:p w14:paraId="789F1239" w14:textId="1A86BD39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</w:t>
      </w:r>
      <w:bookmarkStart w:id="5" w:name="_GoBack"/>
      <w:r w:rsidR="00C406D4" w:rsidRPr="00803871">
        <w:rPr>
          <w:rFonts w:ascii="Arial" w:hAnsi="Arial" w:cs="Arial"/>
          <w:b/>
          <w:sz w:val="24"/>
          <w:szCs w:val="24"/>
        </w:rPr>
        <w:t>ca</w:t>
      </w:r>
      <w:bookmarkEnd w:id="5"/>
      <w:r w:rsidR="00C406D4" w:rsidRPr="00803871">
        <w:rPr>
          <w:rFonts w:ascii="Arial" w:hAnsi="Arial" w:cs="Arial"/>
          <w:b/>
          <w:sz w:val="24"/>
          <w:szCs w:val="24"/>
        </w:rPr>
        <w:t>tion</w:t>
      </w:r>
    </w:p>
    <w:p w14:paraId="6D65FDB3" w14:textId="77777777" w:rsidR="000150CA" w:rsidRPr="00AF1F08" w:rsidRDefault="000150CA" w:rsidP="000150CA">
      <w:pPr>
        <w:rPr>
          <w:rFonts w:ascii="Arial" w:hAnsi="Arial" w:cs="Arial"/>
          <w:sz w:val="20"/>
          <w:szCs w:val="20"/>
        </w:rPr>
      </w:pPr>
      <w:bookmarkStart w:id="6" w:name="_Hlk496791391"/>
      <w:bookmarkStart w:id="7" w:name="_Hlk497289366"/>
      <w:bookmarkStart w:id="8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6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7"/>
    </w:p>
    <w:bookmarkEnd w:id="8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45CE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6AC013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15EA">
        <w:rPr>
          <w:rFonts w:ascii="Arial" w:hAnsi="Arial" w:cs="Arial"/>
          <w:color w:val="222222"/>
          <w:sz w:val="20"/>
          <w:szCs w:val="20"/>
        </w:rPr>
        <w:t>Maneb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0FB7E2D1" w14:textId="77777777" w:rsidR="00F253BB" w:rsidRDefault="00F253BB" w:rsidP="00F253B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46A2CBD" w14:textId="77777777" w:rsidR="00F253BB" w:rsidRPr="00514382" w:rsidRDefault="00F253BB" w:rsidP="00F253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497380247"/>
      <w:bookmarkStart w:id="10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8434233" w14:textId="77777777" w:rsidR="00F253BB" w:rsidRPr="00514382" w:rsidRDefault="00F253BB" w:rsidP="00F253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4F7BD1" w14:textId="77777777" w:rsidR="00F253BB" w:rsidRPr="00514382" w:rsidRDefault="00F253BB" w:rsidP="00F253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9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10"/>
    <w:p w14:paraId="01E4C2F9" w14:textId="2348CD5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51A48B9" w14:textId="77777777" w:rsidR="00DC7027" w:rsidRDefault="00DC7027" w:rsidP="00DC702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C64D232" w14:textId="77777777" w:rsidR="00DC7027" w:rsidRDefault="00DC7027" w:rsidP="00DC702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2E0C511" w14:textId="77777777" w:rsidR="00DC7027" w:rsidRDefault="00DC7027" w:rsidP="00DC7027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3F51596" w14:textId="77777777" w:rsidR="00DC7027" w:rsidRDefault="00DC7027" w:rsidP="00DC702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14:paraId="3AF98C38" w14:textId="77777777" w:rsidR="00DC7027" w:rsidRDefault="00DC702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3F65B" w14:textId="77777777" w:rsidR="00712083" w:rsidRDefault="00712083" w:rsidP="00E83E8B">
      <w:pPr>
        <w:spacing w:after="0" w:line="240" w:lineRule="auto"/>
      </w:pPr>
      <w:r>
        <w:separator/>
      </w:r>
    </w:p>
  </w:endnote>
  <w:endnote w:type="continuationSeparator" w:id="0">
    <w:p w14:paraId="01B8FFE3" w14:textId="77777777" w:rsidR="00712083" w:rsidRDefault="0071208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286F80A" w:rsidR="00972CE1" w:rsidRPr="002D6A72" w:rsidRDefault="007E15E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>
      <w:rPr>
        <w:rFonts w:ascii="Arial" w:hAnsi="Arial" w:cs="Arial"/>
        <w:color w:val="222222"/>
        <w:sz w:val="20"/>
        <w:szCs w:val="20"/>
      </w:rPr>
      <w:t>Maneb</w:t>
    </w:r>
    <w:proofErr w:type="spellEnd"/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2519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2519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2519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2519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45CE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2519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2519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E2519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2519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2519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45CE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2519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25198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3BC2067" w:rsidR="00972CE1" w:rsidRPr="00E25198" w:rsidRDefault="00E25198" w:rsidP="00E2519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3" w:name="_Hlk496191538"/>
    <w:bookmarkStart w:id="14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B28D2" w14:textId="77777777" w:rsidR="00712083" w:rsidRDefault="00712083" w:rsidP="00E83E8B">
      <w:pPr>
        <w:spacing w:after="0" w:line="240" w:lineRule="auto"/>
      </w:pPr>
      <w:r>
        <w:separator/>
      </w:r>
    </w:p>
  </w:footnote>
  <w:footnote w:type="continuationSeparator" w:id="0">
    <w:p w14:paraId="4E9B0119" w14:textId="77777777" w:rsidR="00712083" w:rsidRDefault="0071208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AD989F4" w:rsidR="000D5EF1" w:rsidRDefault="00E251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2488C" wp14:editId="3724254F">
          <wp:simplePos x="0" y="0"/>
          <wp:positionH relativeFrom="page">
            <wp:posOffset>435429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F592B29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150CA"/>
    <w:rsid w:val="00036CD3"/>
    <w:rsid w:val="000445D0"/>
    <w:rsid w:val="0005661D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1562"/>
    <w:rsid w:val="00476770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A6FB3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083"/>
    <w:rsid w:val="00712B4D"/>
    <w:rsid w:val="007268C5"/>
    <w:rsid w:val="00734BB8"/>
    <w:rsid w:val="00741182"/>
    <w:rsid w:val="00745C03"/>
    <w:rsid w:val="00763952"/>
    <w:rsid w:val="00765F96"/>
    <w:rsid w:val="00787432"/>
    <w:rsid w:val="007D58BC"/>
    <w:rsid w:val="007E0205"/>
    <w:rsid w:val="007E15EA"/>
    <w:rsid w:val="007E5167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5642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22916"/>
    <w:rsid w:val="00A4088C"/>
    <w:rsid w:val="00A44604"/>
    <w:rsid w:val="00A45CE0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12FDC"/>
    <w:rsid w:val="00B35E5E"/>
    <w:rsid w:val="00B4188D"/>
    <w:rsid w:val="00B50CCA"/>
    <w:rsid w:val="00B5589C"/>
    <w:rsid w:val="00B6326D"/>
    <w:rsid w:val="00B80F97"/>
    <w:rsid w:val="00BA7D41"/>
    <w:rsid w:val="00C05A3E"/>
    <w:rsid w:val="00C060FA"/>
    <w:rsid w:val="00C06795"/>
    <w:rsid w:val="00C13828"/>
    <w:rsid w:val="00C15C75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401B"/>
    <w:rsid w:val="00DB70FD"/>
    <w:rsid w:val="00DC39EF"/>
    <w:rsid w:val="00DC7027"/>
    <w:rsid w:val="00DF4A6C"/>
    <w:rsid w:val="00DF4FA9"/>
    <w:rsid w:val="00E10CA5"/>
    <w:rsid w:val="00E1617A"/>
    <w:rsid w:val="00E25198"/>
    <w:rsid w:val="00E25791"/>
    <w:rsid w:val="00E33613"/>
    <w:rsid w:val="00E56087"/>
    <w:rsid w:val="00E706C6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253BB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BABCDECA-EA51-475B-B2E9-3BF7524A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3C1901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5FAD-B49D-44A5-8FE0-B6BBEE3A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2017-08-03T13:55:00Z</dcterms:created>
  <dcterms:modified xsi:type="dcterms:W3CDTF">2017-12-01T18:30:00Z</dcterms:modified>
</cp:coreProperties>
</file>