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556C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7548D4">
                <w:rPr>
                  <w:rFonts w:ascii="Arial" w:hAnsi="Arial" w:cs="Arial"/>
                  <w:b/>
                  <w:bCs/>
                  <w:sz w:val="36"/>
                  <w:szCs w:val="36"/>
                </w:rPr>
                <w:t xml:space="preserve">Lead </w:t>
              </w:r>
              <w:proofErr w:type="spellStart"/>
              <w:r w:rsidR="00F12343">
                <w:rPr>
                  <w:rFonts w:ascii="Arial" w:hAnsi="Arial" w:cs="Arial"/>
                  <w:b/>
                  <w:bCs/>
                  <w:sz w:val="36"/>
                  <w:szCs w:val="36"/>
                </w:rPr>
                <w:t>subacetate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556C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DD3F4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Lead </w:t>
                                  </w:r>
                                  <w:proofErr w:type="spellStart"/>
                                  <w:r w:rsidR="00DD3F4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subacetate</w:t>
                                  </w:r>
                                  <w:proofErr w:type="spellEnd"/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CF1625">
            <w:rPr>
              <w:rFonts w:ascii="Arial" w:hAnsi="Arial" w:cs="Arial"/>
              <w:sz w:val="20"/>
              <w:szCs w:val="20"/>
            </w:rPr>
            <w:t xml:space="preserve"> </w:t>
          </w:r>
          <w:r w:rsidR="003A0EE8">
            <w:rPr>
              <w:rFonts w:ascii="Arial" w:hAnsi="Arial" w:cs="Arial"/>
              <w:sz w:val="20"/>
              <w:szCs w:val="20"/>
            </w:rPr>
            <w:t xml:space="preserve">is an </w:t>
          </w:r>
          <w:r w:rsidR="00247943">
            <w:rPr>
              <w:rFonts w:ascii="Arial" w:hAnsi="Arial" w:cs="Arial"/>
              <w:sz w:val="20"/>
              <w:szCs w:val="20"/>
            </w:rPr>
            <w:t>in</w:t>
          </w:r>
          <w:r w:rsidR="003A0EE8">
            <w:rPr>
              <w:rFonts w:ascii="Arial" w:hAnsi="Arial" w:cs="Arial"/>
              <w:sz w:val="20"/>
              <w:szCs w:val="20"/>
            </w:rPr>
            <w:t>organic</w:t>
          </w:r>
          <w:r w:rsidR="004E4139">
            <w:rPr>
              <w:rFonts w:ascii="Arial" w:hAnsi="Arial" w:cs="Arial"/>
              <w:sz w:val="20"/>
              <w:szCs w:val="20"/>
            </w:rPr>
            <w:t xml:space="preserve"> compound that</w:t>
          </w:r>
          <w:r w:rsidR="00247943">
            <w:rPr>
              <w:rFonts w:ascii="Arial" w:hAnsi="Arial" w:cs="Arial"/>
              <w:sz w:val="20"/>
              <w:szCs w:val="20"/>
            </w:rPr>
            <w:t xml:space="preserve"> </w:t>
          </w:r>
          <w:r w:rsidR="00411B37">
            <w:rPr>
              <w:rFonts w:ascii="Arial" w:hAnsi="Arial" w:cs="Arial"/>
              <w:sz w:val="20"/>
              <w:szCs w:val="20"/>
            </w:rPr>
            <w:t xml:space="preserve">is </w:t>
          </w:r>
          <w:r w:rsidR="00694BFF">
            <w:rPr>
              <w:rFonts w:ascii="Arial" w:hAnsi="Arial" w:cs="Arial"/>
              <w:sz w:val="20"/>
              <w:szCs w:val="20"/>
            </w:rPr>
            <w:t>harmful if</w:t>
          </w:r>
          <w:r w:rsidR="00794AE7">
            <w:rPr>
              <w:rFonts w:ascii="Arial" w:hAnsi="Arial" w:cs="Arial"/>
              <w:sz w:val="20"/>
              <w:szCs w:val="20"/>
            </w:rPr>
            <w:t xml:space="preserve"> </w:t>
          </w:r>
          <w:r w:rsidR="005A6CDB">
            <w:rPr>
              <w:rFonts w:ascii="Arial" w:hAnsi="Arial" w:cs="Arial"/>
              <w:sz w:val="20"/>
              <w:szCs w:val="20"/>
            </w:rPr>
            <w:t xml:space="preserve">ingested or </w:t>
          </w:r>
          <w:r w:rsidR="00794AE7">
            <w:rPr>
              <w:rFonts w:ascii="Arial" w:hAnsi="Arial" w:cs="Arial"/>
              <w:sz w:val="20"/>
              <w:szCs w:val="20"/>
            </w:rPr>
            <w:t>absorbed through the skin</w:t>
          </w:r>
          <w:r w:rsidR="00411B37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6C01CD">
            <w:rPr>
              <w:rFonts w:ascii="Arial" w:hAnsi="Arial" w:cs="Arial"/>
              <w:sz w:val="20"/>
              <w:szCs w:val="20"/>
            </w:rPr>
            <w:t>.</w:t>
          </w:r>
          <w:r w:rsidR="005A6CD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4961BA">
            <w:rPr>
              <w:rFonts w:ascii="Arial" w:hAnsi="Arial" w:cs="Arial"/>
              <w:sz w:val="20"/>
              <w:szCs w:val="20"/>
            </w:rPr>
            <w:t xml:space="preserve">may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961BA">
            <w:rPr>
              <w:rFonts w:ascii="Arial" w:hAnsi="Arial" w:cs="Arial"/>
              <w:sz w:val="20"/>
              <w:szCs w:val="20"/>
            </w:rPr>
            <w:t xml:space="preserve"> It is </w:t>
          </w:r>
          <w:r w:rsidR="00DE5C8C">
            <w:rPr>
              <w:rFonts w:ascii="Arial" w:hAnsi="Arial" w:cs="Arial"/>
              <w:sz w:val="20"/>
              <w:szCs w:val="20"/>
            </w:rPr>
            <w:t>classified by IARC as Group 2B</w:t>
          </w:r>
          <w:r w:rsidR="00794AE7">
            <w:rPr>
              <w:rFonts w:ascii="Arial" w:hAnsi="Arial" w:cs="Arial"/>
              <w:sz w:val="20"/>
              <w:szCs w:val="20"/>
            </w:rPr>
            <w:t xml:space="preserve">, </w:t>
          </w:r>
          <w:r w:rsidR="00DE5C8C">
            <w:rPr>
              <w:rFonts w:ascii="Arial" w:hAnsi="Arial" w:cs="Arial"/>
              <w:sz w:val="20"/>
              <w:szCs w:val="20"/>
            </w:rPr>
            <w:t>possibly</w:t>
          </w:r>
          <w:r w:rsidR="00694BFF">
            <w:rPr>
              <w:rFonts w:ascii="Arial" w:hAnsi="Arial" w:cs="Arial"/>
              <w:sz w:val="20"/>
              <w:szCs w:val="20"/>
            </w:rPr>
            <w:t xml:space="preserve"> </w:t>
          </w:r>
          <w:r w:rsidR="00247943">
            <w:rPr>
              <w:rFonts w:ascii="Arial" w:hAnsi="Arial" w:cs="Arial"/>
              <w:sz w:val="20"/>
              <w:szCs w:val="20"/>
            </w:rPr>
            <w:t>carcinogenic to humans. It is a suspected teratogen and reproductive toxin. Symptoms of lead poisoning may occur upon exposure.</w:t>
          </w:r>
          <w:r w:rsidR="004961BA">
            <w:rPr>
              <w:rFonts w:ascii="Arial" w:hAnsi="Arial" w:cs="Arial"/>
              <w:sz w:val="20"/>
              <w:szCs w:val="20"/>
            </w:rPr>
            <w:t xml:space="preserve"> </w:t>
          </w:r>
          <w:r w:rsidR="00411B37">
            <w:rPr>
              <w:rFonts w:ascii="Arial" w:hAnsi="Arial" w:cs="Arial"/>
              <w:sz w:val="20"/>
              <w:szCs w:val="20"/>
            </w:rPr>
            <w:t xml:space="preserve">Lead </w:t>
          </w:r>
          <w:proofErr w:type="spellStart"/>
          <w:r w:rsidR="00411B37">
            <w:rPr>
              <w:rFonts w:ascii="Arial" w:hAnsi="Arial" w:cs="Arial"/>
              <w:sz w:val="20"/>
              <w:szCs w:val="20"/>
            </w:rPr>
            <w:t>subacetate</w:t>
          </w:r>
          <w:proofErr w:type="spellEnd"/>
          <w:r w:rsidR="005A6CDB">
            <w:rPr>
              <w:rFonts w:ascii="Arial" w:hAnsi="Arial" w:cs="Arial"/>
              <w:sz w:val="20"/>
              <w:szCs w:val="20"/>
            </w:rPr>
            <w:t xml:space="preserve"> is</w:t>
          </w:r>
          <w:r w:rsidR="00411B37">
            <w:rPr>
              <w:rFonts w:ascii="Arial" w:hAnsi="Arial" w:cs="Arial"/>
              <w:sz w:val="20"/>
              <w:szCs w:val="20"/>
            </w:rPr>
            <w:t xml:space="preserve"> used as a decolorizing agent in sugar and as an analytical chemical</w:t>
          </w:r>
          <w:r w:rsidR="00694BFF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87EE1">
            <w:rPr>
              <w:rFonts w:ascii="Arial" w:hAnsi="Arial" w:cs="Arial"/>
              <w:sz w:val="20"/>
              <w:szCs w:val="20"/>
            </w:rPr>
            <w:t>1335-32-6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24BB7">
            <w:rPr>
              <w:rFonts w:ascii="Arial" w:hAnsi="Arial" w:cs="Arial"/>
              <w:b/>
              <w:sz w:val="20"/>
              <w:szCs w:val="20"/>
              <w:u w:val="single"/>
            </w:rPr>
            <w:t>T</w:t>
          </w:r>
          <w:r w:rsidR="004D5369">
            <w:rPr>
              <w:rFonts w:ascii="Arial" w:hAnsi="Arial" w:cs="Arial"/>
              <w:b/>
              <w:sz w:val="20"/>
              <w:szCs w:val="20"/>
              <w:u w:val="single"/>
            </w:rPr>
            <w:t>oxic,</w:t>
          </w:r>
          <w:r w:rsidR="00D41E56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carcinogen, teratogen,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C87EE1">
            <w:rPr>
              <w:rFonts w:ascii="Arial" w:hAnsi="Arial" w:cs="Arial"/>
              <w:sz w:val="20"/>
              <w:szCs w:val="20"/>
            </w:rPr>
            <w:t>C</w:t>
          </w:r>
          <w:r w:rsidR="00C87EE1" w:rsidRPr="00C87EE1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C87EE1">
            <w:rPr>
              <w:rFonts w:ascii="Arial" w:hAnsi="Arial" w:cs="Arial"/>
              <w:sz w:val="20"/>
              <w:szCs w:val="20"/>
            </w:rPr>
            <w:t>H</w:t>
          </w:r>
          <w:r w:rsidR="00C87EE1" w:rsidRPr="00C87EE1">
            <w:rPr>
              <w:rFonts w:ascii="Arial" w:hAnsi="Arial" w:cs="Arial"/>
              <w:sz w:val="20"/>
              <w:szCs w:val="20"/>
              <w:vertAlign w:val="subscript"/>
            </w:rPr>
            <w:t>10</w:t>
          </w:r>
          <w:r w:rsidR="00C87EE1">
            <w:rPr>
              <w:rFonts w:ascii="Arial" w:hAnsi="Arial" w:cs="Arial"/>
              <w:sz w:val="20"/>
              <w:szCs w:val="20"/>
            </w:rPr>
            <w:t>O</w:t>
          </w:r>
          <w:r w:rsidR="00C87EE1" w:rsidRPr="00C87EE1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C87EE1">
            <w:rPr>
              <w:rFonts w:ascii="Arial" w:hAnsi="Arial" w:cs="Arial"/>
              <w:sz w:val="20"/>
              <w:szCs w:val="20"/>
            </w:rPr>
            <w:t>Pb</w:t>
          </w:r>
          <w:r w:rsidR="00C87EE1" w:rsidRPr="00C87EE1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87EE1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87EE1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556C0" w:rsidP="00D41E56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45982132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45982132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51865360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518653602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54116052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54116052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41160530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41160531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DD3F4E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 xml:space="preserve">Lead </w:t>
                                                                      </w:r>
                                                                      <w:proofErr w:type="spellStart"/>
                                                                      <w:r w:rsidR="00DD3F4E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subacetate</w:t>
                                                                      </w:r>
                                                                      <w:proofErr w:type="spellEnd"/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4D5369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C87EE1">
                <w:rPr>
                  <w:rFonts w:ascii="Arial" w:hAnsi="Arial" w:cs="Arial"/>
                  <w:sz w:val="20"/>
                  <w:szCs w:val="20"/>
                </w:rPr>
                <w:t>classified by IARC as Group 2</w:t>
              </w:r>
              <w:r w:rsidR="00C32ED1">
                <w:rPr>
                  <w:rFonts w:ascii="Arial" w:hAnsi="Arial" w:cs="Arial"/>
                  <w:sz w:val="20"/>
                  <w:szCs w:val="20"/>
                </w:rPr>
                <w:t>B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32ED1">
                <w:rPr>
                  <w:rFonts w:ascii="Arial" w:hAnsi="Arial" w:cs="Arial"/>
                  <w:sz w:val="20"/>
                  <w:szCs w:val="20"/>
                </w:rPr>
                <w:t>possibly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car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>cinoge</w:t>
              </w:r>
              <w:r w:rsidR="00C87EE1">
                <w:rPr>
                  <w:rFonts w:ascii="Arial" w:hAnsi="Arial" w:cs="Arial"/>
                  <w:sz w:val="20"/>
                  <w:szCs w:val="20"/>
                </w:rPr>
                <w:t xml:space="preserve">nic to humans. It is 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>harmful if</w:t>
              </w:r>
              <w:r w:rsidR="00A24BB7">
                <w:rPr>
                  <w:rFonts w:ascii="Arial" w:hAnsi="Arial" w:cs="Arial"/>
                  <w:sz w:val="20"/>
                  <w:szCs w:val="20"/>
                </w:rPr>
                <w:t xml:space="preserve"> ingested or</w:t>
              </w:r>
              <w:r w:rsidR="00E865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C87EE1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121B8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94BFF">
                <w:rPr>
                  <w:rFonts w:ascii="Arial" w:hAnsi="Arial" w:cs="Arial"/>
                  <w:sz w:val="20"/>
                  <w:szCs w:val="20"/>
                </w:rPr>
                <w:t>ymptoms of overexposure include</w:t>
              </w:r>
              <w:r w:rsidR="0038094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joint and muscle pain,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weakness of the extensor muscles, headache, dizziness, abdominal pain, diarrhea,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1E56" w:rsidRPr="00D41E56">
                <w:rPr>
                  <w:rFonts w:ascii="Arial" w:hAnsi="Arial" w:cs="Arial"/>
                  <w:sz w:val="20"/>
                  <w:szCs w:val="20"/>
                </w:rPr>
                <w:t>constipation, nausea, vomiting, blue line on the gums, insom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nia, metallic taste, increased cerebrospinal pressure, brain damage, effects on blood, nervous, and digestive systems, </w:t>
              </w:r>
              <w:r w:rsidR="008858A0">
                <w:rPr>
                  <w:rFonts w:ascii="Arial" w:hAnsi="Arial" w:cs="Arial"/>
                  <w:sz w:val="20"/>
                  <w:szCs w:val="20"/>
                </w:rPr>
                <w:t xml:space="preserve">liver and kidney damage, 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>anemia, stupor leading to coma,</w:t>
              </w:r>
              <w:r w:rsidR="006C7D1E">
                <w:rPr>
                  <w:rFonts w:ascii="Arial" w:hAnsi="Arial" w:cs="Arial"/>
                  <w:sz w:val="20"/>
                  <w:szCs w:val="20"/>
                </w:rPr>
                <w:t xml:space="preserve"> anorexia, convulsions,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and death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Neuromuscular dysfunction, possible paralysis, and encephalopathy can occur if left untreated.</w:t>
              </w:r>
              <w:r w:rsidR="00E4762D">
                <w:rPr>
                  <w:rFonts w:ascii="Arial" w:hAnsi="Arial" w:cs="Arial"/>
                  <w:sz w:val="20"/>
                  <w:szCs w:val="20"/>
                </w:rPr>
                <w:t xml:space="preserve"> Danger of cumulative effects.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It is a presumed reproductive toxicant.</w:t>
              </w:r>
              <w:r w:rsidR="00D41E56">
                <w:rPr>
                  <w:rFonts w:ascii="Arial" w:hAnsi="Arial" w:cs="Arial"/>
                  <w:sz w:val="20"/>
                  <w:szCs w:val="20"/>
                </w:rPr>
                <w:t xml:space="preserve"> Lead salts may cross t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he placenta. Adverse effects may occur on human reproduction, embryonic and fetal development, and</w:t>
              </w:r>
              <w:r w:rsidR="00E728B8">
                <w:rPr>
                  <w:rFonts w:ascii="Arial" w:hAnsi="Arial" w:cs="Arial"/>
                  <w:sz w:val="20"/>
                  <w:szCs w:val="20"/>
                </w:rPr>
                <w:t xml:space="preserve"> postnatal development. Lead </w:t>
              </w:r>
              <w:r w:rsidR="00C52CD6">
                <w:rPr>
                  <w:rFonts w:ascii="Arial" w:hAnsi="Arial" w:cs="Arial"/>
                  <w:sz w:val="20"/>
                  <w:szCs w:val="20"/>
                </w:rPr>
                <w:t>acetate has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 xml:space="preserve"> a permissib</w:t>
              </w:r>
              <w:r w:rsidR="00C52CD6">
                <w:rPr>
                  <w:rFonts w:ascii="Arial" w:hAnsi="Arial" w:cs="Arial"/>
                  <w:sz w:val="20"/>
                  <w:szCs w:val="20"/>
                </w:rPr>
                <w:t>le exposure limit (PEL) of 0.05 mg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/m</w:t>
              </w:r>
              <w:r w:rsidR="00BF1689" w:rsidRPr="00BF168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BF1689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 respirator with 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556C0" w:rsidRDefault="00A556C0" w:rsidP="00A556C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556C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459821326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51865360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41160532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DD3F4E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 xml:space="preserve">lead 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="00DD3F4E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subacetate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556C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556C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556C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556C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556C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556C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446E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Appropriately-fitting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556C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556C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DE6CA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556C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556C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556C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556C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556C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A24BB7">
        <w:rPr>
          <w:rFonts w:ascii="Arial" w:hAnsi="Arial" w:cs="Arial"/>
          <w:sz w:val="20"/>
          <w:szCs w:val="20"/>
        </w:rPr>
        <w:t xml:space="preserve"> Ensure normal measures for preventative fire protection</w:t>
      </w:r>
      <w:r w:rsidR="00F445FF">
        <w:rPr>
          <w:rFonts w:ascii="Arial" w:hAnsi="Arial" w:cs="Arial"/>
          <w:sz w:val="20"/>
          <w:szCs w:val="20"/>
        </w:rPr>
        <w:t>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Avoid</w:t>
      </w:r>
      <w:r w:rsidR="00A24BB7">
        <w:rPr>
          <w:rFonts w:ascii="Arial" w:hAnsi="Arial" w:cs="Arial"/>
          <w:sz w:val="20"/>
          <w:szCs w:val="20"/>
        </w:rPr>
        <w:t xml:space="preserve"> strong oxidizing</w:t>
      </w:r>
      <w:r w:rsidR="006C7D1E">
        <w:rPr>
          <w:rFonts w:ascii="Arial" w:hAnsi="Arial" w:cs="Arial"/>
          <w:sz w:val="20"/>
          <w:szCs w:val="20"/>
        </w:rPr>
        <w:t xml:space="preserve"> agents</w:t>
      </w:r>
      <w:r w:rsidR="00117D66">
        <w:rPr>
          <w:rFonts w:ascii="Arial" w:hAnsi="Arial" w:cs="Arial"/>
          <w:sz w:val="20"/>
          <w:szCs w:val="20"/>
        </w:rPr>
        <w:t xml:space="preserve"> and strong </w:t>
      </w:r>
      <w:r w:rsidR="00A24BB7">
        <w:rPr>
          <w:rFonts w:ascii="Arial" w:hAnsi="Arial" w:cs="Arial"/>
          <w:sz w:val="20"/>
          <w:szCs w:val="20"/>
        </w:rPr>
        <w:t>acids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A556C0" w:rsidRDefault="00A556C0" w:rsidP="00A556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556C0" w:rsidRDefault="00A556C0" w:rsidP="00A55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556C0" w:rsidRDefault="00A556C0" w:rsidP="00A55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556C0" w:rsidRDefault="00A556C0" w:rsidP="00A55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556C0" w:rsidRDefault="00A556C0" w:rsidP="00A55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A556C0" w:rsidRDefault="00A556C0" w:rsidP="00A55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556C0" w:rsidRDefault="00A556C0" w:rsidP="00A55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56C0" w:rsidRDefault="00A556C0" w:rsidP="00A55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A556C0" w:rsidRDefault="00A556C0" w:rsidP="00A556C0">
      <w:pPr>
        <w:pStyle w:val="Heading1"/>
      </w:pPr>
    </w:p>
    <w:p w:rsidR="00A556C0" w:rsidRDefault="00A556C0" w:rsidP="00A55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A556C0" w:rsidRDefault="00A556C0" w:rsidP="00A55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A556C0" w:rsidRDefault="00A556C0" w:rsidP="00A55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A556C0" w:rsidRDefault="00A556C0" w:rsidP="00A55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Pr="00803871" w:rsidRDefault="00C406D4" w:rsidP="00A556C0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A556C0" w:rsidRDefault="00A556C0" w:rsidP="00A556C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A556C0" w:rsidRDefault="00A556C0" w:rsidP="00A556C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A556C0" w:rsidRDefault="00A556C0" w:rsidP="00A556C0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A556C0" w:rsidRDefault="00A556C0" w:rsidP="00A55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556C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45982132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45982132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51865360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518653606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54116053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541160537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54116053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54116053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r w:rsidR="00DD3F4E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 xml:space="preserve">lead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="00DD3F4E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subacetate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6C0" w:rsidRDefault="00A556C0" w:rsidP="00A556C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Principal Investigator must provide his/her laboratory personnel with a copy of this SOP and access to the SDS provided by the manufacturer.  </w:t>
      </w:r>
    </w:p>
    <w:p w:rsidR="00A556C0" w:rsidRDefault="00A556C0" w:rsidP="00A55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56C0" w:rsidRDefault="00A556C0" w:rsidP="00A556C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556C0" w:rsidRDefault="00A556C0" w:rsidP="00A556C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A556C0" w:rsidRDefault="00A556C0" w:rsidP="00A556C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556C0" w:rsidRDefault="00A556C0" w:rsidP="00A556C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A556C0" w:rsidRDefault="00A556C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7E" w:rsidRDefault="004D5A7E" w:rsidP="00E83E8B">
      <w:pPr>
        <w:spacing w:after="0" w:line="240" w:lineRule="auto"/>
      </w:pPr>
      <w:r>
        <w:separator/>
      </w:r>
    </w:p>
  </w:endnote>
  <w:endnote w:type="continuationSeparator" w:id="0">
    <w:p w:rsidR="004D5A7E" w:rsidRDefault="004D5A7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A556C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459821293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459821294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518653599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518653600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541160524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541160525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541160526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541160527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r w:rsidR="00DD3F4E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 xml:space="preserve">Lead </w:t>
                                                                    </w:r>
                                                                    <w:proofErr w:type="spellStart"/>
                                                                    <w:r w:rsidR="00DD3F4E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subacetate</w:t>
                                                                    </w:r>
                                                                    <w:proofErr w:type="spellEnd"/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D41E56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D41E56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41E5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bCs/>
            <w:sz w:val="18"/>
            <w:szCs w:val="18"/>
          </w:rPr>
          <w:t xml:space="preserve">Page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 xml:space="preserve"> of </w:t>
        </w:r>
        <w:r>
          <w:rPr>
            <w:rFonts w:ascii="Arial" w:hAnsi="Arial" w:cs="Arial"/>
            <w:bCs/>
            <w:sz w:val="18"/>
            <w:szCs w:val="18"/>
          </w:rPr>
          <w:fldChar w:fldCharType="begin"/>
        </w:r>
        <w:r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>
          <w:rPr>
            <w:rFonts w:ascii="Arial" w:hAnsi="Arial" w:cs="Arial"/>
            <w:bCs/>
            <w:sz w:val="18"/>
            <w:szCs w:val="18"/>
          </w:rPr>
          <w:fldChar w:fldCharType="end"/>
        </w:r>
        <w:r w:rsidR="00D41E5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D41E56" w:rsidRDefault="00D41E56">
    <w:pPr>
      <w:pStyle w:val="Footer"/>
      <w:rPr>
        <w:rFonts w:ascii="Arial" w:hAnsi="Arial" w:cs="Arial"/>
        <w:noProof/>
        <w:sz w:val="18"/>
        <w:szCs w:val="18"/>
      </w:rPr>
    </w:pPr>
  </w:p>
  <w:p w:rsidR="00D41E56" w:rsidRPr="00972CE1" w:rsidRDefault="00A556C0" w:rsidP="00A556C0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7E" w:rsidRDefault="004D5A7E" w:rsidP="00E83E8B">
      <w:pPr>
        <w:spacing w:after="0" w:line="240" w:lineRule="auto"/>
      </w:pPr>
      <w:r>
        <w:separator/>
      </w:r>
    </w:p>
  </w:footnote>
  <w:footnote w:type="continuationSeparator" w:id="0">
    <w:p w:rsidR="004D5A7E" w:rsidRDefault="004D5A7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E56" w:rsidRDefault="00A556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173990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1E56">
      <w:ptab w:relativeTo="indent" w:alignment="left" w:leader="none"/>
    </w:r>
    <w:r w:rsidR="00D41E56">
      <w:ptab w:relativeTo="margin" w:alignment="left" w:leader="none"/>
    </w:r>
  </w:p>
  <w:p w:rsidR="00D41E56" w:rsidRDefault="00D41E56">
    <w:pPr>
      <w:pStyle w:val="Header"/>
    </w:pPr>
    <w:r>
      <w:rPr>
        <w:noProof/>
      </w:rPr>
      <w:ptab w:relativeTo="margin" w:alignment="left" w:leader="none"/>
    </w:r>
    <w:r w:rsidR="00A556C0" w:rsidRPr="00A556C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5848"/>
    <w:rsid w:val="00023994"/>
    <w:rsid w:val="00030313"/>
    <w:rsid w:val="00034813"/>
    <w:rsid w:val="000374A5"/>
    <w:rsid w:val="00050FC5"/>
    <w:rsid w:val="00066A22"/>
    <w:rsid w:val="000753B4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17D66"/>
    <w:rsid w:val="00121B88"/>
    <w:rsid w:val="00136FBD"/>
    <w:rsid w:val="0014283A"/>
    <w:rsid w:val="00144D72"/>
    <w:rsid w:val="00160845"/>
    <w:rsid w:val="00172880"/>
    <w:rsid w:val="00174C27"/>
    <w:rsid w:val="00175AF2"/>
    <w:rsid w:val="00177962"/>
    <w:rsid w:val="00183897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D6E73"/>
    <w:rsid w:val="001E2838"/>
    <w:rsid w:val="001E5B1B"/>
    <w:rsid w:val="001E7850"/>
    <w:rsid w:val="00200CC8"/>
    <w:rsid w:val="00215722"/>
    <w:rsid w:val="00216F3E"/>
    <w:rsid w:val="00222D96"/>
    <w:rsid w:val="00224406"/>
    <w:rsid w:val="00230472"/>
    <w:rsid w:val="00236F33"/>
    <w:rsid w:val="0024712F"/>
    <w:rsid w:val="00247943"/>
    <w:rsid w:val="00261866"/>
    <w:rsid w:val="00262217"/>
    <w:rsid w:val="00262A6C"/>
    <w:rsid w:val="00263416"/>
    <w:rsid w:val="00263ED1"/>
    <w:rsid w:val="00265CA6"/>
    <w:rsid w:val="00265F1C"/>
    <w:rsid w:val="002752D7"/>
    <w:rsid w:val="002926ED"/>
    <w:rsid w:val="0029599E"/>
    <w:rsid w:val="002A7885"/>
    <w:rsid w:val="002B3921"/>
    <w:rsid w:val="002B6802"/>
    <w:rsid w:val="002D43F6"/>
    <w:rsid w:val="002D4E9C"/>
    <w:rsid w:val="002D7407"/>
    <w:rsid w:val="002D75A2"/>
    <w:rsid w:val="002E1829"/>
    <w:rsid w:val="002E495D"/>
    <w:rsid w:val="002F608E"/>
    <w:rsid w:val="003007A9"/>
    <w:rsid w:val="00307BC8"/>
    <w:rsid w:val="00315A7F"/>
    <w:rsid w:val="00325F6B"/>
    <w:rsid w:val="00333656"/>
    <w:rsid w:val="003459E1"/>
    <w:rsid w:val="00346F2D"/>
    <w:rsid w:val="00353CD2"/>
    <w:rsid w:val="0036571E"/>
    <w:rsid w:val="00366414"/>
    <w:rsid w:val="00366DA6"/>
    <w:rsid w:val="0037238F"/>
    <w:rsid w:val="00375CC3"/>
    <w:rsid w:val="00380940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B314A"/>
    <w:rsid w:val="003D16C2"/>
    <w:rsid w:val="003D40C1"/>
    <w:rsid w:val="003E49BD"/>
    <w:rsid w:val="003F564F"/>
    <w:rsid w:val="00411B37"/>
    <w:rsid w:val="00417361"/>
    <w:rsid w:val="004213C7"/>
    <w:rsid w:val="00426401"/>
    <w:rsid w:val="00427421"/>
    <w:rsid w:val="0044526E"/>
    <w:rsid w:val="00446E7D"/>
    <w:rsid w:val="004509C6"/>
    <w:rsid w:val="0045145C"/>
    <w:rsid w:val="004524C1"/>
    <w:rsid w:val="00466412"/>
    <w:rsid w:val="00471562"/>
    <w:rsid w:val="00471B41"/>
    <w:rsid w:val="00486923"/>
    <w:rsid w:val="004961BA"/>
    <w:rsid w:val="004C0612"/>
    <w:rsid w:val="004C24E5"/>
    <w:rsid w:val="004C5338"/>
    <w:rsid w:val="004D5369"/>
    <w:rsid w:val="004D5373"/>
    <w:rsid w:val="004D5A7E"/>
    <w:rsid w:val="004E4139"/>
    <w:rsid w:val="004E621D"/>
    <w:rsid w:val="004E6D71"/>
    <w:rsid w:val="004F1C1C"/>
    <w:rsid w:val="004F56D0"/>
    <w:rsid w:val="00504B54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3DF0"/>
    <w:rsid w:val="0055488D"/>
    <w:rsid w:val="005607A6"/>
    <w:rsid w:val="00577B0A"/>
    <w:rsid w:val="00581477"/>
    <w:rsid w:val="00582320"/>
    <w:rsid w:val="0058553D"/>
    <w:rsid w:val="00585D73"/>
    <w:rsid w:val="0058737F"/>
    <w:rsid w:val="005A6CDB"/>
    <w:rsid w:val="005C3F55"/>
    <w:rsid w:val="005D3C5E"/>
    <w:rsid w:val="005D5909"/>
    <w:rsid w:val="005F605F"/>
    <w:rsid w:val="0060469B"/>
    <w:rsid w:val="0061087B"/>
    <w:rsid w:val="00610F0B"/>
    <w:rsid w:val="00613624"/>
    <w:rsid w:val="00614391"/>
    <w:rsid w:val="00637757"/>
    <w:rsid w:val="00645204"/>
    <w:rsid w:val="00657A8A"/>
    <w:rsid w:val="00657ED6"/>
    <w:rsid w:val="00664FD0"/>
    <w:rsid w:val="00672441"/>
    <w:rsid w:val="00672C8C"/>
    <w:rsid w:val="00693D76"/>
    <w:rsid w:val="00694BFF"/>
    <w:rsid w:val="00696672"/>
    <w:rsid w:val="00697081"/>
    <w:rsid w:val="006B2878"/>
    <w:rsid w:val="006B5014"/>
    <w:rsid w:val="006B5EF0"/>
    <w:rsid w:val="006B6D59"/>
    <w:rsid w:val="006C01CD"/>
    <w:rsid w:val="006C207D"/>
    <w:rsid w:val="006C3D44"/>
    <w:rsid w:val="006C7D1E"/>
    <w:rsid w:val="006D0EDD"/>
    <w:rsid w:val="006D257E"/>
    <w:rsid w:val="006F12CE"/>
    <w:rsid w:val="006F154A"/>
    <w:rsid w:val="006F1931"/>
    <w:rsid w:val="00725596"/>
    <w:rsid w:val="007268C5"/>
    <w:rsid w:val="0073301A"/>
    <w:rsid w:val="00734BB8"/>
    <w:rsid w:val="007350F5"/>
    <w:rsid w:val="00743002"/>
    <w:rsid w:val="007456FD"/>
    <w:rsid w:val="007533C0"/>
    <w:rsid w:val="007548D4"/>
    <w:rsid w:val="00754F33"/>
    <w:rsid w:val="00764AE5"/>
    <w:rsid w:val="007655C3"/>
    <w:rsid w:val="00766198"/>
    <w:rsid w:val="007733F7"/>
    <w:rsid w:val="00775A50"/>
    <w:rsid w:val="00781673"/>
    <w:rsid w:val="00787432"/>
    <w:rsid w:val="007914E8"/>
    <w:rsid w:val="00791D2E"/>
    <w:rsid w:val="00791E23"/>
    <w:rsid w:val="00794AE7"/>
    <w:rsid w:val="00794BA9"/>
    <w:rsid w:val="00796718"/>
    <w:rsid w:val="007B027B"/>
    <w:rsid w:val="007B4E5A"/>
    <w:rsid w:val="007C7EE5"/>
    <w:rsid w:val="007D0302"/>
    <w:rsid w:val="007D0987"/>
    <w:rsid w:val="007D09A9"/>
    <w:rsid w:val="007D35A0"/>
    <w:rsid w:val="007D58BC"/>
    <w:rsid w:val="007D5C27"/>
    <w:rsid w:val="007F0F6B"/>
    <w:rsid w:val="007F1605"/>
    <w:rsid w:val="007F1DB4"/>
    <w:rsid w:val="007F654E"/>
    <w:rsid w:val="008007D3"/>
    <w:rsid w:val="00803871"/>
    <w:rsid w:val="008129F2"/>
    <w:rsid w:val="008168DD"/>
    <w:rsid w:val="00834CD2"/>
    <w:rsid w:val="00837AFC"/>
    <w:rsid w:val="008406C2"/>
    <w:rsid w:val="0084116F"/>
    <w:rsid w:val="00850978"/>
    <w:rsid w:val="008510A7"/>
    <w:rsid w:val="00866AE7"/>
    <w:rsid w:val="008706E6"/>
    <w:rsid w:val="00874FAC"/>
    <w:rsid w:val="008858A0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1450"/>
    <w:rsid w:val="00943DCC"/>
    <w:rsid w:val="009452B5"/>
    <w:rsid w:val="00952B71"/>
    <w:rsid w:val="00966846"/>
    <w:rsid w:val="009707BA"/>
    <w:rsid w:val="00972CE1"/>
    <w:rsid w:val="009771A3"/>
    <w:rsid w:val="00987262"/>
    <w:rsid w:val="00990D38"/>
    <w:rsid w:val="009973FB"/>
    <w:rsid w:val="009978F7"/>
    <w:rsid w:val="009A5A39"/>
    <w:rsid w:val="009D370A"/>
    <w:rsid w:val="009D663E"/>
    <w:rsid w:val="009E2199"/>
    <w:rsid w:val="009E60E3"/>
    <w:rsid w:val="009F46EF"/>
    <w:rsid w:val="009F5503"/>
    <w:rsid w:val="00A119D1"/>
    <w:rsid w:val="00A20142"/>
    <w:rsid w:val="00A2066C"/>
    <w:rsid w:val="00A21A65"/>
    <w:rsid w:val="00A24BB7"/>
    <w:rsid w:val="00A27B6D"/>
    <w:rsid w:val="00A52E06"/>
    <w:rsid w:val="00A556C0"/>
    <w:rsid w:val="00A60A2A"/>
    <w:rsid w:val="00A611A7"/>
    <w:rsid w:val="00A6695B"/>
    <w:rsid w:val="00A70036"/>
    <w:rsid w:val="00A73335"/>
    <w:rsid w:val="00A800E1"/>
    <w:rsid w:val="00A83E3B"/>
    <w:rsid w:val="00A874A1"/>
    <w:rsid w:val="00AC190B"/>
    <w:rsid w:val="00AD72E3"/>
    <w:rsid w:val="00AF4FD3"/>
    <w:rsid w:val="00AF63A0"/>
    <w:rsid w:val="00B06891"/>
    <w:rsid w:val="00B06CB0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95D79"/>
    <w:rsid w:val="00BB1EC5"/>
    <w:rsid w:val="00BC12CE"/>
    <w:rsid w:val="00BD3737"/>
    <w:rsid w:val="00BF1689"/>
    <w:rsid w:val="00BF6E77"/>
    <w:rsid w:val="00C060FA"/>
    <w:rsid w:val="00C10475"/>
    <w:rsid w:val="00C151B3"/>
    <w:rsid w:val="00C25477"/>
    <w:rsid w:val="00C2738D"/>
    <w:rsid w:val="00C32ED1"/>
    <w:rsid w:val="00C341E5"/>
    <w:rsid w:val="00C358F4"/>
    <w:rsid w:val="00C40330"/>
    <w:rsid w:val="00C406AD"/>
    <w:rsid w:val="00C406D4"/>
    <w:rsid w:val="00C52CD6"/>
    <w:rsid w:val="00C757A4"/>
    <w:rsid w:val="00C839FB"/>
    <w:rsid w:val="00C86629"/>
    <w:rsid w:val="00C87EE1"/>
    <w:rsid w:val="00C94F6C"/>
    <w:rsid w:val="00CA0DA6"/>
    <w:rsid w:val="00CA33DB"/>
    <w:rsid w:val="00CA41A4"/>
    <w:rsid w:val="00CB5746"/>
    <w:rsid w:val="00CC7E19"/>
    <w:rsid w:val="00CE0CAF"/>
    <w:rsid w:val="00CF1157"/>
    <w:rsid w:val="00CF1625"/>
    <w:rsid w:val="00CF6C75"/>
    <w:rsid w:val="00D00746"/>
    <w:rsid w:val="00D011A1"/>
    <w:rsid w:val="00D21841"/>
    <w:rsid w:val="00D27079"/>
    <w:rsid w:val="00D27399"/>
    <w:rsid w:val="00D340E7"/>
    <w:rsid w:val="00D375D0"/>
    <w:rsid w:val="00D41E56"/>
    <w:rsid w:val="00D53815"/>
    <w:rsid w:val="00D5621A"/>
    <w:rsid w:val="00D573ED"/>
    <w:rsid w:val="00D57E5A"/>
    <w:rsid w:val="00D75B10"/>
    <w:rsid w:val="00D8294B"/>
    <w:rsid w:val="00DB70FD"/>
    <w:rsid w:val="00DC39EF"/>
    <w:rsid w:val="00DD07A3"/>
    <w:rsid w:val="00DD3F4E"/>
    <w:rsid w:val="00DD4DFE"/>
    <w:rsid w:val="00DD6C8F"/>
    <w:rsid w:val="00DE5C8C"/>
    <w:rsid w:val="00DE6CA9"/>
    <w:rsid w:val="00E065C6"/>
    <w:rsid w:val="00E10D7D"/>
    <w:rsid w:val="00E1122E"/>
    <w:rsid w:val="00E13B39"/>
    <w:rsid w:val="00E45A72"/>
    <w:rsid w:val="00E4696A"/>
    <w:rsid w:val="00E4762D"/>
    <w:rsid w:val="00E54197"/>
    <w:rsid w:val="00E67886"/>
    <w:rsid w:val="00E706C6"/>
    <w:rsid w:val="00E728B8"/>
    <w:rsid w:val="00E81CB1"/>
    <w:rsid w:val="00E83E8B"/>
    <w:rsid w:val="00E842B3"/>
    <w:rsid w:val="00E865F6"/>
    <w:rsid w:val="00E93704"/>
    <w:rsid w:val="00EC747B"/>
    <w:rsid w:val="00F01C4A"/>
    <w:rsid w:val="00F02D08"/>
    <w:rsid w:val="00F07C45"/>
    <w:rsid w:val="00F12343"/>
    <w:rsid w:val="00F212B5"/>
    <w:rsid w:val="00F21797"/>
    <w:rsid w:val="00F256FA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3A88"/>
    <w:rsid w:val="00FA7DD0"/>
    <w:rsid w:val="00FB4DD8"/>
    <w:rsid w:val="00FB7C63"/>
    <w:rsid w:val="00FC1D92"/>
    <w:rsid w:val="00FC4BD4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961A2D"/>
  <w15:docId w15:val="{7CE3464C-DF2A-4F87-85AC-3D6BAFB4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07A1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053C4"/>
    <w:rsid w:val="004558DB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E0470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E6DD6"/>
    <w:rsid w:val="00A2238E"/>
    <w:rsid w:val="00A24227"/>
    <w:rsid w:val="00A51AE4"/>
    <w:rsid w:val="00A704CB"/>
    <w:rsid w:val="00A7291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74B7B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2355E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3C57-7ECA-408D-987F-B0F9A22C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2017-11-27T18:30:00Z</dcterms:created>
  <dcterms:modified xsi:type="dcterms:W3CDTF">2017-11-27T18:32:00Z</dcterms:modified>
</cp:coreProperties>
</file>