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DefaultPlaceholder_1082065158"/>
        </w:placeholder>
      </w:sdtPr>
      <w:sdtEndPr>
        <w:rPr>
          <w:sz w:val="96"/>
          <w:szCs w:val="36"/>
        </w:rPr>
      </w:sdtEndPr>
      <w:sdtContent>
        <w:p w14:paraId="5D64B428" w14:textId="582AC424" w:rsidR="00F909E2" w:rsidRPr="002A415B" w:rsidRDefault="002A415B" w:rsidP="002F41B8">
          <w:pPr>
            <w:jc w:val="center"/>
            <w:rPr>
              <w:rFonts w:ascii="Arial" w:hAnsi="Arial" w:cs="Arial"/>
              <w:sz w:val="96"/>
              <w:szCs w:val="36"/>
            </w:rPr>
          </w:pPr>
          <w:r>
            <w:rPr>
              <w:rFonts w:ascii="Arial" w:hAnsi="Arial" w:cs="Arial"/>
              <w:sz w:val="28"/>
              <w:szCs w:val="20"/>
            </w:rPr>
            <w:t>Benzphetamine hydro</w:t>
          </w:r>
          <w:r w:rsidRPr="002A415B">
            <w:rPr>
              <w:rFonts w:ascii="Arial" w:hAnsi="Arial" w:cs="Arial"/>
              <w:sz w:val="28"/>
              <w:szCs w:val="20"/>
            </w:rPr>
            <w:t>chloride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3B25268F" w14:textId="5C24FF25" w:rsidR="004C0377" w:rsidRDefault="002A415B" w:rsidP="004C03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Benzphetamine hydro</w:t>
                  </w:r>
                  <w:r w:rsidRPr="00A60669">
                    <w:rPr>
                      <w:rFonts w:ascii="Arial" w:hAnsi="Arial" w:cs="Arial"/>
                      <w:sz w:val="20"/>
                      <w:szCs w:val="20"/>
                    </w:rPr>
                    <w:t>chloride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4C037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567F10AF" w14:textId="6860EDEA" w:rsidR="00AF11D5" w:rsidRPr="00551C11" w:rsidRDefault="00F65477" w:rsidP="002F41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be h</w:t>
                  </w:r>
                  <w:r w:rsidR="004C0377">
                    <w:rPr>
                      <w:rFonts w:ascii="Arial" w:hAnsi="Arial" w:cs="Arial"/>
                      <w:sz w:val="20"/>
                      <w:szCs w:val="20"/>
                    </w:rPr>
                    <w:t>armful if ingested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, inhaled, or absorbed through skin. May cause kidney, lung, or liver damage.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Severe overexposure can be fatal or cause nausea, dizziness, headache, tremors, and sweating.  </w:t>
                  </w:r>
                </w:p>
                <w:p w14:paraId="08C35F5C" w14:textId="6E7D10BA" w:rsidR="004C0377" w:rsidRPr="00F65477" w:rsidRDefault="00271EB5" w:rsidP="00C406D4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Also known as </w:t>
                  </w:r>
                  <w:r w:rsidR="00C771B7" w:rsidRPr="00C771B7">
                    <w:rPr>
                      <w:rFonts w:ascii="Arial" w:hAnsi="Arial" w:cs="Arial"/>
                      <w:sz w:val="20"/>
                      <w:szCs w:val="20"/>
                    </w:rPr>
                    <w:t>N-Benzyl-</w:t>
                  </w:r>
                  <w:proofErr w:type="gramStart"/>
                  <w:r w:rsidR="00C771B7" w:rsidRPr="00C771B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37641C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C771B7" w:rsidRPr="00C771B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proofErr w:type="spellStart"/>
                  <w:proofErr w:type="gramEnd"/>
                  <w:r w:rsidR="00990781">
                    <w:rPr>
                      <w:rFonts w:ascii="Arial" w:hAnsi="Arial" w:cs="Arial"/>
                      <w:sz w:val="20"/>
                      <w:szCs w:val="20"/>
                    </w:rPr>
                    <w:t>lpha</w:t>
                  </w:r>
                  <w:r w:rsidR="00C771B7" w:rsidRPr="00C771B7">
                    <w:rPr>
                      <w:rFonts w:ascii="Arial" w:hAnsi="Arial" w:cs="Arial"/>
                      <w:sz w:val="20"/>
                      <w:szCs w:val="20"/>
                    </w:rPr>
                    <w:t>-dimethylphenethylamine</w:t>
                  </w:r>
                  <w:proofErr w:type="spellEnd"/>
                  <w:r w:rsidR="004C00E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771B7" w:rsidRPr="00C771B7">
                    <w:rPr>
                      <w:rFonts w:ascii="Arial" w:hAnsi="Arial" w:cs="Arial"/>
                      <w:sz w:val="20"/>
                      <w:szCs w:val="20"/>
                    </w:rPr>
                    <w:t>hydrochloride</w:t>
                  </w:r>
                  <w:r w:rsidR="00F654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77" w:rsidRPr="00B14C3D">
                    <w:rPr>
                      <w:rFonts w:ascii="Arial" w:hAnsi="Arial" w:cs="Arial"/>
                      <w:sz w:val="20"/>
                      <w:szCs w:val="20"/>
                    </w:rPr>
                    <w:t xml:space="preserve">or </w:t>
                  </w:r>
                  <w:r w:rsidR="00F65477" w:rsidRPr="00B14C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DIDREX (</w:t>
                  </w:r>
                  <w:r w:rsidR="003764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</w:t>
                  </w:r>
                  <w:r w:rsidR="00F65477" w:rsidRPr="00B14C3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enzphetamine).</w:t>
                  </w:r>
                </w:p>
                <w:p w14:paraId="7D818EC2" w14:textId="74BC6EE5" w:rsidR="00C406D4" w:rsidRPr="002F41B8" w:rsidRDefault="00C771B7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Benzphetamine hydro</w:t>
                  </w:r>
                  <w:r w:rsidRPr="00A60669">
                    <w:rPr>
                      <w:rFonts w:ascii="Arial" w:hAnsi="Arial" w:cs="Arial"/>
                      <w:sz w:val="20"/>
                      <w:szCs w:val="20"/>
                    </w:rPr>
                    <w:t>chloride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a pharmaceutical drug used to treat weight loss. </w:t>
                  </w:r>
                </w:p>
              </w:sdtContent>
            </w:sdt>
          </w:sdtContent>
        </w:sdt>
      </w:sdtContent>
    </w:sdt>
    <w:p w14:paraId="518E68BE" w14:textId="77777777" w:rsidR="004C00E3" w:rsidRDefault="004C00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1C38FEA9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77777777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C771B7" w:rsidRPr="00C771B7">
        <w:rPr>
          <w:rFonts w:ascii="Arial" w:hAnsi="Arial" w:cs="Arial"/>
          <w:sz w:val="20"/>
          <w:szCs w:val="20"/>
        </w:rPr>
        <w:t xml:space="preserve">5411-22-3 </w:t>
      </w:r>
    </w:p>
    <w:p w14:paraId="4B8FE3B1" w14:textId="109AF2B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6A1EDDF5" w14:textId="297C8A64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C771B7" w:rsidRPr="00C771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C771B7" w:rsidRPr="00C771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17</w:t>
              </w:r>
              <w:r w:rsidR="00C771B7" w:rsidRPr="00C771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C771B7" w:rsidRPr="00C771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37641C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37641C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CIN</w:t>
              </w:r>
            </w:sdtContent>
          </w:sdt>
        </w:sdtContent>
      </w:sdt>
    </w:p>
    <w:p w14:paraId="3D35E5FB" w14:textId="13C7E4F1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771B7">
            <w:rPr>
              <w:rFonts w:ascii="Arial" w:hAnsi="Arial" w:cs="Arial"/>
              <w:sz w:val="20"/>
              <w:szCs w:val="20"/>
            </w:rPr>
            <w:t>Solid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4A56AAE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65477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5F183A7B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65477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0905E75C" w14:textId="2B4954D5" w:rsidR="00271EB5" w:rsidRDefault="00C771B7" w:rsidP="00271E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Benzphetamine hydro</w:t>
                  </w:r>
                  <w:r w:rsidRPr="00A60669">
                    <w:rPr>
                      <w:rFonts w:ascii="Arial" w:hAnsi="Arial" w:cs="Arial"/>
                      <w:sz w:val="20"/>
                      <w:szCs w:val="20"/>
                    </w:rPr>
                    <w:t>chloride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is </w:t>
                  </w:r>
                  <w:r w:rsidR="00271EB5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77">
                    <w:rPr>
                      <w:rFonts w:ascii="Arial" w:hAnsi="Arial" w:cs="Arial"/>
                      <w:sz w:val="20"/>
                      <w:szCs w:val="20"/>
                    </w:rPr>
                    <w:t xml:space="preserve">It is also a suspected reproductive toxic. </w:t>
                  </w:r>
                </w:p>
                <w:p w14:paraId="1CE85697" w14:textId="3C6714EA" w:rsidR="00C771B7" w:rsidRDefault="002A415B" w:rsidP="002A41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Clinical findings indicated </w:t>
                  </w:r>
                  <w:r w:rsidR="00F65477">
                    <w:rPr>
                      <w:rFonts w:ascii="Arial" w:hAnsi="Arial" w:cs="Arial"/>
                      <w:sz w:val="20"/>
                      <w:szCs w:val="20"/>
                    </w:rPr>
                    <w:t>Benzphetamine hydro</w:t>
                  </w:r>
                  <w:r w:rsidR="00F65477" w:rsidRPr="00A60669">
                    <w:rPr>
                      <w:rFonts w:ascii="Arial" w:hAnsi="Arial" w:cs="Arial"/>
                      <w:sz w:val="20"/>
                      <w:szCs w:val="20"/>
                    </w:rPr>
                    <w:t>chloride</w:t>
                  </w:r>
                  <w:r w:rsidR="00F6547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causes adverse </w:t>
                  </w:r>
                  <w:r w:rsidR="00C771B7">
                    <w:rPr>
                      <w:rFonts w:ascii="Arial" w:hAnsi="Arial" w:cs="Arial"/>
                      <w:sz w:val="20"/>
                      <w:szCs w:val="20"/>
                    </w:rPr>
                    <w:t xml:space="preserve">dose-related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reactions </w:t>
                  </w:r>
                  <w:r w:rsidRPr="002A415B">
                    <w:rPr>
                      <w:rFonts w:ascii="Arial" w:hAnsi="Arial" w:cs="Arial"/>
                      <w:sz w:val="20"/>
                      <w:szCs w:val="20"/>
                    </w:rPr>
                    <w:t>related to CNS stimulatory effects, such as nervousness, insomnia, dizziness, headaches, increased blood pressure, and irregular heartbeat.</w:t>
                  </w:r>
                  <w:r w:rsidR="00C771B7">
                    <w:rPr>
                      <w:rFonts w:ascii="Arial" w:hAnsi="Arial" w:cs="Arial"/>
                      <w:sz w:val="20"/>
                      <w:szCs w:val="20"/>
                    </w:rPr>
                    <w:t xml:space="preserve"> May cause symptoms of dependence or withdrawal or </w:t>
                  </w:r>
                  <w:r w:rsidRPr="002A415B">
                    <w:rPr>
                      <w:rFonts w:ascii="Arial" w:hAnsi="Arial" w:cs="Arial"/>
                      <w:sz w:val="20"/>
                      <w:szCs w:val="20"/>
                    </w:rPr>
                    <w:t>may be secreted in human breast milk.</w:t>
                  </w:r>
                  <w:r w:rsidR="00C771B7">
                    <w:rPr>
                      <w:rFonts w:ascii="Arial" w:hAnsi="Arial" w:cs="Arial"/>
                      <w:sz w:val="20"/>
                      <w:szCs w:val="20"/>
                    </w:rPr>
                    <w:t xml:space="preserve"> Do not ingest when pregnant.</w:t>
                  </w:r>
                  <w:r w:rsidRPr="002A41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6731F63" w14:textId="3B1855BC" w:rsidR="00C771B7" w:rsidRDefault="00C771B7" w:rsidP="0037641C">
                  <w:pPr>
                    <w:spacing w:before="20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Avoid breathing dust, vapors, or </w:t>
                  </w:r>
                  <w:r w:rsidRPr="00C771B7">
                    <w:rPr>
                      <w:rFonts w:ascii="Arial" w:hAnsi="Arial" w:cs="Arial"/>
                      <w:sz w:val="20"/>
                      <w:szCs w:val="20"/>
                    </w:rPr>
                    <w:t>spray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76290D2" w14:textId="528DD0E7" w:rsidR="00271EB5" w:rsidRDefault="00C771B7" w:rsidP="0037641C">
                  <w:pPr>
                    <w:spacing w:before="20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Benzphetamine hydro</w:t>
                  </w:r>
                  <w:r w:rsidRPr="00A60669">
                    <w:rPr>
                      <w:rFonts w:ascii="Arial" w:hAnsi="Arial" w:cs="Arial"/>
                      <w:sz w:val="20"/>
                      <w:szCs w:val="20"/>
                    </w:rPr>
                    <w:t>chloride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as the following permissible exposure limits: </w:t>
                  </w:r>
                  <w:r w:rsidRPr="00C771B7">
                    <w:rPr>
                      <w:rFonts w:ascii="Arial" w:eastAsia="Times New Roman" w:hAnsi="Arial" w:cs="Arial"/>
                      <w:sz w:val="20"/>
                      <w:szCs w:val="20"/>
                    </w:rPr>
                    <w:t>90µg/m</w:t>
                  </w:r>
                  <w:r w:rsidRPr="00C771B7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5C86FFAD" w14:textId="13ABAD84" w:rsidR="00AC0400" w:rsidRDefault="00AC0400" w:rsidP="0037641C">
                  <w:pPr>
                    <w:spacing w:before="2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123241E8" w:rsidR="00987262" w:rsidRPr="00C67484" w:rsidRDefault="00AC0400" w:rsidP="002F41B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Oral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(LD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): </w:t>
                  </w:r>
                  <w:r w:rsidR="00C771B7">
                    <w:rPr>
                      <w:rFonts w:ascii="Arial" w:eastAsia="Times New Roman" w:hAnsi="Arial" w:cs="Arial"/>
                      <w:sz w:val="20"/>
                      <w:szCs w:val="20"/>
                    </w:rPr>
                    <w:t>160</w:t>
                  </w:r>
                  <w:r w:rsidR="00551C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>mg/kg [Rat].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5F6772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1007F3D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As a last line of defense (i.e., after engineering and administrative controls </w:t>
      </w:r>
      <w:r w:rsidR="005F6772">
        <w:rPr>
          <w:rFonts w:ascii="Arial" w:hAnsi="Arial" w:cs="Arial"/>
          <w:sz w:val="20"/>
          <w:szCs w:val="20"/>
        </w:rPr>
        <w:t>have been exhausted)</w:t>
      </w:r>
    </w:p>
    <w:p w14:paraId="24400AEE" w14:textId="416C6E7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5F6772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1DDCE13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5F6772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65B3E35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5F6772">
        <w:rPr>
          <w:rFonts w:ascii="Arial" w:hAnsi="Arial" w:cs="Arial"/>
          <w:sz w:val="20"/>
          <w:szCs w:val="20"/>
        </w:rPr>
        <w:t>quires the use of a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581548" w14:textId="4277645E" w:rsidR="003F564F" w:rsidRPr="005F6772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2A4654A" w14:textId="3B466B80" w:rsidR="003F564F" w:rsidRPr="003F564F" w:rsidRDefault="00995AFD" w:rsidP="005F6772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14:paraId="07CE9CA2" w14:textId="77777777" w:rsidR="003F564F" w:rsidRPr="00265CA6" w:rsidRDefault="003F564F" w:rsidP="005F677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5F67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25962E9E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F65477">
        <w:rPr>
          <w:rFonts w:ascii="Arial" w:hAnsi="Arial" w:cs="Arial"/>
          <w:sz w:val="20"/>
          <w:szCs w:val="20"/>
        </w:rPr>
        <w:t>Benzphetamine hydro</w:t>
      </w:r>
      <w:r w:rsidR="00F65477" w:rsidRPr="00A60669">
        <w:rPr>
          <w:rFonts w:ascii="Arial" w:hAnsi="Arial" w:cs="Arial"/>
          <w:sz w:val="20"/>
          <w:szCs w:val="20"/>
        </w:rPr>
        <w:t>chloride</w:t>
      </w:r>
      <w:r w:rsidR="00F65477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F677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F677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F677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F677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5F677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4F90A54" w:rsidR="003F564F" w:rsidRPr="00265CA6" w:rsidRDefault="005F67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E092B27" w:rsidR="003F564F" w:rsidRPr="00265CA6" w:rsidRDefault="005F677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01F58C89" w:rsidR="00C406D4" w:rsidRPr="00F909E2" w:rsidRDefault="005F677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5F67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5F67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2004878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12626465" w:rsidR="00C406D4" w:rsidRPr="003F564F" w:rsidRDefault="005F677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202F681A" w:rsidR="00271EB5" w:rsidRDefault="005F6772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5F6772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292927D" w14:textId="05EA2012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5F6772">
        <w:rPr>
          <w:rFonts w:ascii="Arial" w:hAnsi="Arial" w:cs="Arial"/>
          <w:b/>
          <w:sz w:val="20"/>
          <w:szCs w:val="20"/>
        </w:rPr>
        <w:lastRenderedPageBreak/>
        <w:t>Conditions for safe storage:</w:t>
      </w:r>
      <w:r w:rsidRPr="005F6772"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>a cool, dry, and well-ventilated</w:t>
      </w:r>
      <w:r w:rsidR="005F6772">
        <w:rPr>
          <w:rFonts w:ascii="Arial" w:hAnsi="Arial" w:cs="Arial"/>
          <w:sz w:val="20"/>
          <w:szCs w:val="20"/>
        </w:rPr>
        <w:t xml:space="preserve"> area</w:t>
      </w:r>
      <w:r>
        <w:rPr>
          <w:rFonts w:ascii="Arial" w:hAnsi="Arial" w:cs="Arial"/>
          <w:sz w:val="20"/>
          <w:szCs w:val="20"/>
        </w:rPr>
        <w:t xml:space="preserve">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>ible materials and conditions. Keep cool and protect from sunlight.</w:t>
      </w:r>
    </w:p>
    <w:p w14:paraId="4FD9E91D" w14:textId="77777777" w:rsidR="00995AFD" w:rsidRDefault="00995AFD" w:rsidP="00995A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5D0CFF4" w14:textId="77777777" w:rsidR="00995AFD" w:rsidRDefault="00995AFD" w:rsidP="00995AF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6C6BC59" w14:textId="77777777" w:rsidR="00995AFD" w:rsidRDefault="00995AFD" w:rsidP="00995AF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1349425" w14:textId="77777777" w:rsidR="00995AFD" w:rsidRDefault="00995AFD" w:rsidP="0099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9244C47" w14:textId="77777777" w:rsidR="00995AFD" w:rsidRDefault="00995AFD" w:rsidP="0099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08EE495" w14:textId="77777777" w:rsidR="00995AFD" w:rsidRDefault="00995AFD" w:rsidP="0099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4E40917" w14:textId="77777777" w:rsidR="00995AFD" w:rsidRDefault="00995AFD" w:rsidP="00995A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3D6C7C" w14:textId="77777777" w:rsidR="00995AFD" w:rsidRDefault="00995AFD" w:rsidP="00995AF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58E4C8B5" w14:textId="42C076E1" w:rsidR="00995AFD" w:rsidRDefault="00995AFD" w:rsidP="005F6772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F677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5F67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F49E38" w14:textId="77777777" w:rsidR="00995AFD" w:rsidRDefault="00995AFD" w:rsidP="00995AF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266BBB6" w14:textId="77777777" w:rsidR="00995AFD" w:rsidRDefault="00995AFD" w:rsidP="0099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4A3C0823" w:rsidR="00C406D4" w:rsidRPr="00265CA6" w:rsidRDefault="00995AFD" w:rsidP="00995A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4452045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1BE97A7" w14:textId="77777777" w:rsidR="00995AFD" w:rsidRDefault="00995AFD" w:rsidP="00995AF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7CCD7E8" w14:textId="77777777" w:rsidR="00995AFD" w:rsidRDefault="00995AFD" w:rsidP="00995AF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5CF68C8D" w14:textId="4273DEF6" w:rsidR="003F564F" w:rsidRPr="00995AFD" w:rsidRDefault="005F6772" w:rsidP="00995A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5AFD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B2A5D07" w14:textId="77777777" w:rsidR="005F6772" w:rsidRDefault="005F6772" w:rsidP="00C406D4">
      <w:pPr>
        <w:rPr>
          <w:rFonts w:ascii="Arial" w:eastAsia="Calibri" w:hAnsi="Arial" w:cs="Arial"/>
          <w:sz w:val="20"/>
          <w:szCs w:val="20"/>
        </w:rPr>
      </w:pPr>
      <w:r w:rsidRPr="005F6772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5F677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5F6772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22F5CF9C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F677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BCE69C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F65477">
        <w:rPr>
          <w:rFonts w:ascii="Arial" w:hAnsi="Arial" w:cs="Arial"/>
          <w:sz w:val="20"/>
          <w:szCs w:val="20"/>
        </w:rPr>
        <w:t>Benzphetamine hydro</w:t>
      </w:r>
      <w:r w:rsidR="00F65477" w:rsidRPr="00A60669">
        <w:rPr>
          <w:rFonts w:ascii="Arial" w:hAnsi="Arial" w:cs="Arial"/>
          <w:sz w:val="20"/>
          <w:szCs w:val="20"/>
        </w:rPr>
        <w:t>chloride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C7ABB" w14:textId="054501A9" w:rsidR="00995AFD" w:rsidRDefault="00995AFD" w:rsidP="00995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3B3D45DB" w14:textId="77777777" w:rsidR="00995AFD" w:rsidRDefault="00995AFD" w:rsidP="00995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ADA7F1" w14:textId="449F0DB2" w:rsidR="00995AFD" w:rsidRDefault="00995AFD" w:rsidP="00995AF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bookmarkStart w:id="0" w:name="_GoBack"/>
      <w:bookmarkEnd w:id="0"/>
    </w:p>
    <w:p w14:paraId="7D69D866" w14:textId="77777777" w:rsidR="00995AFD" w:rsidRPr="00995AFD" w:rsidRDefault="00995AFD" w:rsidP="00995AFD">
      <w:pPr>
        <w:pStyle w:val="ListParagraph"/>
        <w:rPr>
          <w:rFonts w:ascii="Arial" w:hAnsi="Arial" w:cs="Arial"/>
          <w:sz w:val="20"/>
          <w:szCs w:val="20"/>
        </w:rPr>
      </w:pPr>
    </w:p>
    <w:p w14:paraId="101BED90" w14:textId="77777777" w:rsidR="00995AFD" w:rsidRDefault="00995AFD" w:rsidP="00995AF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A755866" w14:textId="77777777" w:rsidR="00995AFD" w:rsidRDefault="00995AFD" w:rsidP="00995AF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2CD058B" w14:textId="77777777" w:rsidR="00995AFD" w:rsidRDefault="00995AFD" w:rsidP="00995AF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48E4C" w14:textId="77777777" w:rsidR="002B1242" w:rsidRDefault="002B1242" w:rsidP="00E83E8B">
      <w:pPr>
        <w:spacing w:after="0" w:line="240" w:lineRule="auto"/>
      </w:pPr>
      <w:r>
        <w:separator/>
      </w:r>
    </w:p>
  </w:endnote>
  <w:endnote w:type="continuationSeparator" w:id="0">
    <w:p w14:paraId="6D9D722D" w14:textId="77777777" w:rsidR="002B1242" w:rsidRDefault="002B124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31C291B" w:rsidR="00C771B7" w:rsidRDefault="005F677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65477">
          <w:rPr>
            <w:rFonts w:ascii="Arial" w:hAnsi="Arial" w:cs="Arial"/>
            <w:sz w:val="20"/>
            <w:szCs w:val="20"/>
          </w:rPr>
          <w:t>Benzphetamine hydro</w:t>
        </w:r>
        <w:r w:rsidR="00F65477" w:rsidRPr="00A60669">
          <w:rPr>
            <w:rFonts w:ascii="Arial" w:hAnsi="Arial" w:cs="Arial"/>
            <w:sz w:val="20"/>
            <w:szCs w:val="20"/>
          </w:rPr>
          <w:t>chloride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AB46D7" w:rsidRPr="00AB46D7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AB46D7" w:rsidRPr="00AB46D7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</w:r>
        <w:r w:rsidR="00AB46D7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B158D8B" w:rsidR="00C771B7" w:rsidRPr="00972CE1" w:rsidRDefault="00AB46D7" w:rsidP="00AB46D7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AB46D7">
      <w:rPr>
        <w:rFonts w:ascii="Arial" w:eastAsia="Calibri" w:hAnsi="Arial" w:cs="Times New Roman"/>
        <w:noProof/>
        <w:color w:val="A6A6A6"/>
        <w:sz w:val="12"/>
        <w:szCs w:val="12"/>
      </w:rPr>
      <w:t>niversity of Georgia Office of Research Safety and Environmental Safety Division</w:t>
    </w:r>
    <w:r w:rsidRPr="00AB46D7">
      <w:rPr>
        <w:rFonts w:ascii="Arial" w:eastAsia="Calibri" w:hAnsi="Arial" w:cs="Times New Roman"/>
        <w:noProof/>
        <w:color w:val="A6A6A6"/>
        <w:sz w:val="12"/>
        <w:szCs w:val="12"/>
      </w:rPr>
      <w:tab/>
    </w:r>
    <w:r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Pr="00AB46D7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Pr="00AB46D7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AB46D7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AB46D7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AB46D7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7FA5" w14:textId="77777777" w:rsidR="002B1242" w:rsidRDefault="002B1242" w:rsidP="00E83E8B">
      <w:pPr>
        <w:spacing w:after="0" w:line="240" w:lineRule="auto"/>
      </w:pPr>
      <w:r>
        <w:separator/>
      </w:r>
    </w:p>
  </w:footnote>
  <w:footnote w:type="continuationSeparator" w:id="0">
    <w:p w14:paraId="668C5207" w14:textId="77777777" w:rsidR="002B1242" w:rsidRDefault="002B124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7777777" w:rsidR="00C771B7" w:rsidRDefault="00C771B7">
    <w:pPr>
      <w:pStyle w:val="Header"/>
    </w:pPr>
    <w:r>
      <w:ptab w:relativeTo="indent" w:alignment="left" w:leader="none"/>
    </w:r>
    <w:r>
      <w:ptab w:relativeTo="margin" w:alignment="left" w:leader="none"/>
    </w:r>
  </w:p>
  <w:p w14:paraId="1028E2C3" w14:textId="43DB115C" w:rsidR="00C771B7" w:rsidRDefault="00C771B7">
    <w:pPr>
      <w:pStyle w:val="Header"/>
    </w:pPr>
    <w:r>
      <w:rPr>
        <w:noProof/>
      </w:rPr>
      <w:ptab w:relativeTo="margin" w:alignment="left" w:leader="none"/>
    </w:r>
    <w:r w:rsidR="00AB46D7">
      <w:rPr>
        <w:noProof/>
      </w:rPr>
      <w:drawing>
        <wp:anchor distT="0" distB="0" distL="114300" distR="114300" simplePos="0" relativeHeight="251659264" behindDoc="0" locked="0" layoutInCell="1" allowOverlap="1" wp14:anchorId="4635C6E5" wp14:editId="56063BD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AFD" w:rsidRPr="00995AF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63ED1"/>
    <w:rsid w:val="00265CA6"/>
    <w:rsid w:val="00271EB5"/>
    <w:rsid w:val="00293660"/>
    <w:rsid w:val="002A415B"/>
    <w:rsid w:val="002B1242"/>
    <w:rsid w:val="002F41B8"/>
    <w:rsid w:val="00315CB3"/>
    <w:rsid w:val="00366414"/>
    <w:rsid w:val="00366DA6"/>
    <w:rsid w:val="0037641C"/>
    <w:rsid w:val="003904D4"/>
    <w:rsid w:val="003950E9"/>
    <w:rsid w:val="003F564F"/>
    <w:rsid w:val="00426401"/>
    <w:rsid w:val="00427421"/>
    <w:rsid w:val="00471562"/>
    <w:rsid w:val="004A345A"/>
    <w:rsid w:val="004C00E3"/>
    <w:rsid w:val="004C0377"/>
    <w:rsid w:val="0052121D"/>
    <w:rsid w:val="00530E90"/>
    <w:rsid w:val="00551C11"/>
    <w:rsid w:val="005F6772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58BC"/>
    <w:rsid w:val="00803871"/>
    <w:rsid w:val="00837AFC"/>
    <w:rsid w:val="0084116F"/>
    <w:rsid w:val="00850978"/>
    <w:rsid w:val="00866AE7"/>
    <w:rsid w:val="00891D4B"/>
    <w:rsid w:val="008A2498"/>
    <w:rsid w:val="008C4AEC"/>
    <w:rsid w:val="008C4C8C"/>
    <w:rsid w:val="008F73D6"/>
    <w:rsid w:val="00917F75"/>
    <w:rsid w:val="009452B5"/>
    <w:rsid w:val="00952B71"/>
    <w:rsid w:val="009626FF"/>
    <w:rsid w:val="00972CE1"/>
    <w:rsid w:val="00987262"/>
    <w:rsid w:val="00990781"/>
    <w:rsid w:val="00995AFD"/>
    <w:rsid w:val="009D370A"/>
    <w:rsid w:val="009F5503"/>
    <w:rsid w:val="00A02BD3"/>
    <w:rsid w:val="00A05C01"/>
    <w:rsid w:val="00A119D1"/>
    <w:rsid w:val="00A52E06"/>
    <w:rsid w:val="00A874A1"/>
    <w:rsid w:val="00AB46D7"/>
    <w:rsid w:val="00AC0400"/>
    <w:rsid w:val="00AF11D5"/>
    <w:rsid w:val="00AF2415"/>
    <w:rsid w:val="00B029D7"/>
    <w:rsid w:val="00B14C3D"/>
    <w:rsid w:val="00B4188D"/>
    <w:rsid w:val="00B50CCA"/>
    <w:rsid w:val="00B6326D"/>
    <w:rsid w:val="00C060FA"/>
    <w:rsid w:val="00C406D4"/>
    <w:rsid w:val="00C67484"/>
    <w:rsid w:val="00C771B7"/>
    <w:rsid w:val="00CC22B8"/>
    <w:rsid w:val="00D00746"/>
    <w:rsid w:val="00D8294B"/>
    <w:rsid w:val="00DB70FD"/>
    <w:rsid w:val="00DC39EF"/>
    <w:rsid w:val="00E44F00"/>
    <w:rsid w:val="00E706C6"/>
    <w:rsid w:val="00E83E8B"/>
    <w:rsid w:val="00E842B3"/>
    <w:rsid w:val="00F212B5"/>
    <w:rsid w:val="00F264FB"/>
    <w:rsid w:val="00F65477"/>
    <w:rsid w:val="00F74466"/>
    <w:rsid w:val="00F909E2"/>
    <w:rsid w:val="00F96647"/>
    <w:rsid w:val="00FB2D9F"/>
    <w:rsid w:val="00FB4DD8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5CEAB4D9-6A33-4D24-97D6-6796DEDA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313889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473B-BC77-4BA0-A558-CD98CC89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2017-08-07T20:17:00Z</dcterms:created>
  <dcterms:modified xsi:type="dcterms:W3CDTF">2017-10-16T16:05:00Z</dcterms:modified>
</cp:coreProperties>
</file>