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A5ECA03" w14:textId="75D7D20E" w:rsidR="00C955C7" w:rsidRDefault="00C955C7" w:rsidP="00FB4DD8">
      <w:pPr>
        <w:jc w:val="center"/>
        <w:rPr>
          <w:rFonts w:ascii="Arial" w:hAnsi="Arial" w:cs="Arial"/>
          <w:color w:val="222222"/>
          <w:sz w:val="32"/>
          <w:szCs w:val="20"/>
        </w:rPr>
      </w:pPr>
      <w:r>
        <w:rPr>
          <w:rFonts w:ascii="Arial" w:hAnsi="Arial" w:cs="Arial"/>
          <w:color w:val="222222"/>
          <w:sz w:val="32"/>
          <w:szCs w:val="20"/>
        </w:rPr>
        <w:t>Antimony powder</w:t>
      </w:r>
    </w:p>
    <w:p w14:paraId="7B604C8D" w14:textId="59BC5D94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78A467A" w14:textId="3F504D90" w:rsidR="00C06795" w:rsidRPr="00765F96" w:rsidRDefault="00765F96" w:rsidP="002038B8">
      <w:pPr>
        <w:rPr>
          <w:rFonts w:ascii="Arial" w:hAnsi="Arial" w:cs="Arial"/>
          <w:sz w:val="20"/>
          <w:szCs w:val="20"/>
        </w:rPr>
      </w:pPr>
      <w:r w:rsidRPr="00765F96">
        <w:rPr>
          <w:rFonts w:ascii="Arial" w:hAnsi="Arial" w:cs="Arial"/>
          <w:color w:val="222222"/>
          <w:sz w:val="20"/>
          <w:szCs w:val="20"/>
        </w:rPr>
        <w:t xml:space="preserve">Antimony powder 99.5% </w:t>
      </w:r>
      <w:r w:rsidR="0092044F" w:rsidRPr="00765F96">
        <w:rPr>
          <w:rFonts w:ascii="Arial" w:hAnsi="Arial" w:cs="Arial"/>
          <w:color w:val="222222"/>
          <w:sz w:val="20"/>
          <w:szCs w:val="20"/>
        </w:rPr>
        <w:t>is</w:t>
      </w:r>
      <w:r w:rsidR="0092044F" w:rsidRPr="00765F96">
        <w:rPr>
          <w:rFonts w:ascii="Arial" w:hAnsi="Arial" w:cs="Arial"/>
          <w:sz w:val="20"/>
          <w:szCs w:val="20"/>
        </w:rPr>
        <w:t xml:space="preserve"> </w:t>
      </w:r>
      <w:r w:rsidRPr="00765F96">
        <w:rPr>
          <w:rFonts w:ascii="Arial" w:hAnsi="Arial" w:cs="Arial"/>
          <w:b/>
          <w:sz w:val="20"/>
          <w:szCs w:val="20"/>
        </w:rPr>
        <w:t xml:space="preserve">toxic </w:t>
      </w:r>
      <w:r w:rsidRPr="00765F96">
        <w:rPr>
          <w:rFonts w:ascii="Arial" w:hAnsi="Arial" w:cs="Arial"/>
          <w:sz w:val="20"/>
          <w:szCs w:val="20"/>
        </w:rPr>
        <w:t xml:space="preserve">and a </w:t>
      </w:r>
      <w:r w:rsidR="0092044F" w:rsidRPr="00765F96">
        <w:rPr>
          <w:rFonts w:ascii="Arial" w:hAnsi="Arial" w:cs="Arial"/>
          <w:sz w:val="20"/>
          <w:szCs w:val="20"/>
        </w:rPr>
        <w:t xml:space="preserve">hazardous </w:t>
      </w:r>
      <w:r w:rsidR="0092044F" w:rsidRPr="00765F96">
        <w:rPr>
          <w:rFonts w:ascii="Arial" w:hAnsi="Arial" w:cs="Arial"/>
          <w:b/>
          <w:sz w:val="20"/>
          <w:szCs w:val="20"/>
        </w:rPr>
        <w:t>irritant</w:t>
      </w:r>
      <w:r w:rsidR="0092044F" w:rsidRPr="00765F96">
        <w:rPr>
          <w:rFonts w:ascii="Arial" w:hAnsi="Arial" w:cs="Arial"/>
          <w:sz w:val="20"/>
          <w:szCs w:val="20"/>
        </w:rPr>
        <w:t xml:space="preserve"> in case of skin contact, eye contact, </w:t>
      </w:r>
      <w:r w:rsidRPr="00765F96">
        <w:rPr>
          <w:rFonts w:ascii="Arial" w:hAnsi="Arial" w:cs="Arial"/>
          <w:sz w:val="20"/>
          <w:szCs w:val="20"/>
        </w:rPr>
        <w:t>ingestion, or inhalation.</w:t>
      </w:r>
    </w:p>
    <w:p w14:paraId="3D3A3E29" w14:textId="47DF4EDB" w:rsidR="00765F96" w:rsidRPr="00765F96" w:rsidRDefault="00765F96" w:rsidP="002038B8">
      <w:pPr>
        <w:rPr>
          <w:rFonts w:ascii="Arial" w:hAnsi="Arial" w:cs="Arial"/>
          <w:sz w:val="20"/>
          <w:szCs w:val="20"/>
        </w:rPr>
      </w:pPr>
      <w:r w:rsidRPr="00765F96">
        <w:rPr>
          <w:rFonts w:ascii="Arial" w:hAnsi="Arial" w:cs="Arial"/>
          <w:sz w:val="20"/>
          <w:szCs w:val="20"/>
        </w:rPr>
        <w:t xml:space="preserve">Has similar but less toxic effects comparable to arsenic poisoning. </w:t>
      </w:r>
    </w:p>
    <w:p w14:paraId="2FD02B4C" w14:textId="46D4A556" w:rsidR="00765F96" w:rsidRPr="00765F96" w:rsidRDefault="00765F96" w:rsidP="00765F96">
      <w:pPr>
        <w:pStyle w:val="Default"/>
        <w:rPr>
          <w:rFonts w:ascii="Arial" w:hAnsi="Arial" w:cs="Arial"/>
          <w:sz w:val="20"/>
          <w:szCs w:val="20"/>
        </w:rPr>
      </w:pPr>
      <w:r w:rsidRPr="00765F96">
        <w:rPr>
          <w:rFonts w:ascii="Arial" w:hAnsi="Arial" w:cs="Arial"/>
          <w:sz w:val="20"/>
          <w:szCs w:val="20"/>
        </w:rPr>
        <w:t xml:space="preserve">Antimony powder is used in fire-retardant formulations for plastics, rubbers, textiles, paper and paints and used with alloys for batteries and solders. </w:t>
      </w:r>
    </w:p>
    <w:p w14:paraId="006DB6ED" w14:textId="77777777" w:rsidR="0092044F" w:rsidRDefault="0092044F" w:rsidP="002038B8">
      <w:pPr>
        <w:rPr>
          <w:rFonts w:ascii="Arial" w:hAnsi="Arial" w:cs="Arial"/>
          <w:b/>
          <w:sz w:val="24"/>
          <w:szCs w:val="24"/>
        </w:rPr>
      </w:pPr>
    </w:p>
    <w:p w14:paraId="4322BD9E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26D13137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22429080" w:rsidR="0092044F" w:rsidRPr="0092044F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CAS#: </w:t>
      </w:r>
      <w:r w:rsidR="00765F96" w:rsidRPr="00B46F84">
        <w:rPr>
          <w:rFonts w:ascii="Arial" w:eastAsia="Times New Roman" w:hAnsi="Arial" w:cs="Arial"/>
          <w:sz w:val="20"/>
          <w:szCs w:val="20"/>
          <w:shd w:val="clear" w:color="auto" w:fill="FFFFFF"/>
        </w:rPr>
        <w:t>7440-36-0</w:t>
      </w:r>
    </w:p>
    <w:p w14:paraId="4B8FE3B1" w14:textId="6349B596" w:rsidR="00D8294B" w:rsidRPr="0092044F" w:rsidRDefault="00C06795" w:rsidP="00C06795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 </w:t>
      </w:r>
      <w:r w:rsidR="00D8294B" w:rsidRPr="0092044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2044F" w:rsidRPr="0092044F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765F96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14:paraId="4A753263" w14:textId="7310EEFE" w:rsidR="00A4088C" w:rsidRPr="0092044F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Molecular Formula: </w:t>
      </w:r>
      <w:r w:rsidR="00765F96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Sb</w:t>
      </w:r>
    </w:p>
    <w:p w14:paraId="3D35E5FB" w14:textId="1FEB77F0" w:rsidR="00C406D4" w:rsidRPr="0092044F" w:rsidRDefault="00D8294B" w:rsidP="00A4088C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92044F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3B799A57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65F96">
            <w:rPr>
              <w:rFonts w:ascii="Arial" w:hAnsi="Arial" w:cs="Arial"/>
              <w:sz w:val="20"/>
              <w:szCs w:val="20"/>
            </w:rPr>
            <w:t>grey</w:t>
          </w:r>
        </w:sdtContent>
      </w:sdt>
    </w:p>
    <w:p w14:paraId="28BB28B2" w14:textId="4D85E2E5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5E5049" w:rsidRPr="0092044F">
        <w:rPr>
          <w:rFonts w:ascii="Arial" w:hAnsi="Arial" w:cs="Arial"/>
          <w:sz w:val="20"/>
          <w:szCs w:val="20"/>
        </w:rPr>
        <w:t xml:space="preserve">: </w:t>
      </w:r>
      <w:r w:rsidR="00765F96" w:rsidRPr="00765F96">
        <w:rPr>
          <w:rFonts w:ascii="Arial" w:hAnsi="Arial" w:cs="Arial"/>
          <w:sz w:val="20"/>
          <w:szCs w:val="20"/>
        </w:rPr>
        <w:t>1635°C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48FF981" w14:textId="77777777" w:rsidR="00765F96" w:rsidRPr="00765F96" w:rsidRDefault="00765F96" w:rsidP="00765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Antimony powder 99.5% is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toxic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a 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hazardous </w:t>
                      </w:r>
                      <w:r w:rsidRPr="009204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2044F">
                        <w:rPr>
                          <w:rFonts w:ascii="Arial" w:hAnsi="Arial" w:cs="Arial"/>
                          <w:sz w:val="20"/>
                          <w:szCs w:val="20"/>
                        </w:rPr>
                        <w:t>in case of skin contact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eye contact, ingestion, 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>or inhalation.</w:t>
                      </w:r>
                    </w:p>
                    <w:p w14:paraId="185E77E9" w14:textId="6E0F85E1" w:rsidR="0092044F" w:rsidRPr="00765F96" w:rsidRDefault="00765F96" w:rsidP="00765F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>Causes damage to the following organs: blood, kidneys, lungs, the nervous system, liver, mucous membranes.</w:t>
                      </w:r>
                    </w:p>
                    <w:p w14:paraId="5CE10165" w14:textId="61FE6520" w:rsidR="00765F96" w:rsidRDefault="00765F96" w:rsidP="00765F96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65F9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Inhalation of antimony powder can be fatal in certain cases. Can cause</w:t>
                      </w:r>
                      <w:r w:rsidRPr="00765F96">
                        <w:rPr>
                          <w:rStyle w:val="apple-converted-space"/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headache, dizziness, and depression.</w:t>
                      </w:r>
                      <w:r w:rsidRPr="00765F9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Prolonged skin contact may cause dermatitis, kidney and liver damage, vomiting and can be fatal in a few days. </w:t>
                      </w:r>
                    </w:p>
                    <w:p w14:paraId="7C18A378" w14:textId="48D5C606" w:rsidR="00765F96" w:rsidRPr="00765F96" w:rsidRDefault="00765F96" w:rsidP="00765F96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>Skin effects have been described as “antimony spots” or pustules and eruptions near sweat and sebaceous glands.</w:t>
                      </w:r>
                    </w:p>
                    <w:p w14:paraId="0A649899" w14:textId="2011DDE2" w:rsidR="005E5049" w:rsidRPr="0092044F" w:rsidRDefault="00765F96" w:rsidP="00C06795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permissible exposure limit: </w:t>
                      </w:r>
                      <w:r w:rsidRP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0.5 mg/</w:t>
                      </w:r>
                      <w:r w:rsidRPr="00765F96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TWA.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1F68C574" w14:textId="77777777" w:rsidR="0092044F" w:rsidRPr="0092044F" w:rsidRDefault="0092044F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5CB959D1" w14:textId="38D7EC5C" w:rsidR="00987262" w:rsidRPr="0092044F" w:rsidRDefault="00765F96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65F96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3C5C20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Oral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- </w:t>
                      </w:r>
                      <w:r w:rsidRP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7,000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9C9CC85" w14:textId="77777777" w:rsidR="00C955C7" w:rsidRDefault="00C955C7" w:rsidP="00C955C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C4E4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EDD654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765F96">
        <w:rPr>
          <w:rFonts w:ascii="Arial" w:hAnsi="Arial" w:cs="Arial"/>
          <w:color w:val="222222"/>
          <w:sz w:val="20"/>
          <w:szCs w:val="20"/>
        </w:rPr>
        <w:t>Antimony powder 99.5%.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C4E4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C4E4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C4E4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C4E4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C4E4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FD3C7B3" w:rsidR="003F564F" w:rsidRPr="00265CA6" w:rsidRDefault="006C4E4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6C4E4F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C4E4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C4E4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5B644764" w14:textId="77777777" w:rsidR="00C955C7" w:rsidRDefault="00C955C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6420DA51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C4E4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682A407" w:rsidR="00352F12" w:rsidRDefault="006C4E4F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93D1B7A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5E5049" w:rsidRPr="005E504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50AEA40B" w14:textId="77777777" w:rsidR="00C955C7" w:rsidRDefault="00C955C7" w:rsidP="00C955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6D8206C" w14:textId="77777777" w:rsidR="00C955C7" w:rsidRDefault="00C955C7" w:rsidP="00C955C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C60B4B0" w14:textId="77777777" w:rsidR="00C955C7" w:rsidRDefault="00C955C7" w:rsidP="00C955C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5009B87" w14:textId="77777777" w:rsidR="00C955C7" w:rsidRDefault="00C955C7" w:rsidP="00C955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35B70D8" w14:textId="77777777" w:rsidR="00C955C7" w:rsidRDefault="00C955C7" w:rsidP="00C955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604F066" w14:textId="77777777" w:rsidR="00C955C7" w:rsidRDefault="00C955C7" w:rsidP="00C955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6876267" w14:textId="77777777" w:rsidR="00C955C7" w:rsidRDefault="00C955C7" w:rsidP="00C955C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2D6F218" w14:textId="77777777" w:rsidR="00C955C7" w:rsidRDefault="00C955C7" w:rsidP="00C955C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B12530B" w14:textId="77777777" w:rsidR="00C955C7" w:rsidRDefault="00C955C7" w:rsidP="00C955C7">
      <w:pPr>
        <w:pStyle w:val="Heading1"/>
      </w:pPr>
    </w:p>
    <w:p w14:paraId="29089C0C" w14:textId="77777777" w:rsidR="00C955C7" w:rsidRDefault="00C955C7" w:rsidP="00C955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4A574409" w14:textId="77777777" w:rsidR="00C955C7" w:rsidRDefault="00C955C7" w:rsidP="00C955C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0D9F8A5" w14:textId="77777777" w:rsidR="00C955C7" w:rsidRDefault="00C955C7" w:rsidP="00C955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15249096" w14:textId="77777777" w:rsidR="00C955C7" w:rsidRDefault="00C955C7" w:rsidP="00C955C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50BEC69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7670B11" w14:textId="77777777" w:rsidR="00C955C7" w:rsidRDefault="00C955C7" w:rsidP="00C955C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720780C" w14:textId="77777777" w:rsidR="00C955C7" w:rsidRDefault="00C955C7" w:rsidP="00C955C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41D60525" w14:textId="77777777" w:rsidR="00C955C7" w:rsidRPr="00803871" w:rsidRDefault="00C955C7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248B0EDF" w:rsidR="003F564F" w:rsidRPr="00C955C7" w:rsidRDefault="006C4E4F" w:rsidP="00C955C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0ADEEF3" w14:textId="77777777" w:rsidR="006C4E4F" w:rsidRPr="00AF1F08" w:rsidRDefault="006C4E4F" w:rsidP="006C4E4F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C4E4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ADE347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65F96">
        <w:rPr>
          <w:rFonts w:ascii="Arial" w:hAnsi="Arial" w:cs="Arial"/>
          <w:color w:val="222222"/>
          <w:sz w:val="20"/>
          <w:szCs w:val="20"/>
        </w:rPr>
        <w:t>Antimony powder 99.5%</w:t>
      </w:r>
      <w:r w:rsidR="0092044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32F445" w14:textId="77777777" w:rsidR="00C955C7" w:rsidRDefault="00C955C7" w:rsidP="00C955C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7D1F61A" w14:textId="77777777" w:rsidR="00C955C7" w:rsidRDefault="00C955C7" w:rsidP="00C955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DB00D0" w14:textId="77777777" w:rsidR="00C955C7" w:rsidRDefault="00C955C7" w:rsidP="00C955C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F53BE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0622D83" w14:textId="77777777" w:rsidR="00C955C7" w:rsidRDefault="00C955C7" w:rsidP="00C955C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178E297" w14:textId="77777777" w:rsidR="00C955C7" w:rsidRDefault="00C955C7" w:rsidP="00C955C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5999932" w14:textId="77777777" w:rsidR="00C955C7" w:rsidRDefault="00C955C7" w:rsidP="00C955C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607711F" w14:textId="77777777" w:rsidR="00C955C7" w:rsidRDefault="00C955C7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F695E" w14:textId="77777777" w:rsidR="0005049D" w:rsidRDefault="0005049D" w:rsidP="00E83E8B">
      <w:pPr>
        <w:spacing w:after="0" w:line="240" w:lineRule="auto"/>
      </w:pPr>
      <w:r>
        <w:separator/>
      </w:r>
    </w:p>
  </w:endnote>
  <w:endnote w:type="continuationSeparator" w:id="0">
    <w:p w14:paraId="1FE34724" w14:textId="77777777" w:rsidR="0005049D" w:rsidRDefault="0005049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0258B93" w:rsidR="00972CE1" w:rsidRPr="002D6A72" w:rsidRDefault="00765F9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</w:rPr>
      <w:t>Antimony powder 99.5%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3468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3468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3468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3468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C4E4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3468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3468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3468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3468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3468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C4E4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3468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955C7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513E150" w:rsidR="00972CE1" w:rsidRPr="00D3468D" w:rsidRDefault="00D3468D" w:rsidP="00C955C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A20A" w14:textId="77777777" w:rsidR="0005049D" w:rsidRDefault="0005049D" w:rsidP="00E83E8B">
      <w:pPr>
        <w:spacing w:after="0" w:line="240" w:lineRule="auto"/>
      </w:pPr>
      <w:r>
        <w:separator/>
      </w:r>
    </w:p>
  </w:footnote>
  <w:footnote w:type="continuationSeparator" w:id="0">
    <w:p w14:paraId="2D58766F" w14:textId="77777777" w:rsidR="0005049D" w:rsidRDefault="0005049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8417B26" w:rsidR="000D5EF1" w:rsidRDefault="00D346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E570B" wp14:editId="26F10440">
          <wp:simplePos x="0" y="0"/>
          <wp:positionH relativeFrom="page">
            <wp:posOffset>478465</wp:posOffset>
          </wp:positionH>
          <wp:positionV relativeFrom="page">
            <wp:posOffset>370014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9201D19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5049D"/>
    <w:rsid w:val="0006218F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8754E"/>
    <w:rsid w:val="003904D4"/>
    <w:rsid w:val="003950E9"/>
    <w:rsid w:val="003C5C20"/>
    <w:rsid w:val="003F564F"/>
    <w:rsid w:val="00426401"/>
    <w:rsid w:val="00427421"/>
    <w:rsid w:val="00452088"/>
    <w:rsid w:val="00463346"/>
    <w:rsid w:val="00471562"/>
    <w:rsid w:val="004929A2"/>
    <w:rsid w:val="004A6531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C4E4F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955C7"/>
    <w:rsid w:val="00CA001D"/>
    <w:rsid w:val="00CD010E"/>
    <w:rsid w:val="00D00746"/>
    <w:rsid w:val="00D139D7"/>
    <w:rsid w:val="00D3468D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D0120"/>
    <w:rsid w:val="00ED14A8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DE4B7D69-7536-4E80-9446-1739983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C721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CABA-DE71-4C4D-8387-8AF663A7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2017-08-02T23:39:00Z</dcterms:created>
  <dcterms:modified xsi:type="dcterms:W3CDTF">2017-10-20T13:13:00Z</dcterms:modified>
</cp:coreProperties>
</file>