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C83E5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9102FF">
                <w:rPr>
                  <w:rFonts w:ascii="Arial" w:hAnsi="Arial" w:cs="Arial"/>
                  <w:sz w:val="36"/>
                  <w:szCs w:val="36"/>
                </w:rPr>
                <w:t>2,6</w:t>
              </w:r>
              <w:r w:rsidR="00BC12CE">
                <w:rPr>
                  <w:rFonts w:ascii="Arial" w:hAnsi="Arial" w:cs="Arial"/>
                  <w:sz w:val="36"/>
                  <w:szCs w:val="36"/>
                </w:rPr>
                <w:t>-</w:t>
              </w:r>
              <w:r w:rsidR="00F278BB">
                <w:rPr>
                  <w:rFonts w:ascii="Arial" w:hAnsi="Arial" w:cs="Arial"/>
                  <w:sz w:val="36"/>
                  <w:szCs w:val="36"/>
                </w:rPr>
                <w:t>D</w:t>
              </w:r>
              <w:r w:rsidR="00D375D0">
                <w:rPr>
                  <w:rFonts w:ascii="Arial" w:hAnsi="Arial" w:cs="Arial"/>
                  <w:sz w:val="36"/>
                  <w:szCs w:val="36"/>
                </w:rPr>
                <w:t>i</w:t>
              </w:r>
              <w:r w:rsidR="00A611A7">
                <w:rPr>
                  <w:rFonts w:ascii="Arial" w:hAnsi="Arial" w:cs="Arial"/>
                  <w:sz w:val="36"/>
                  <w:szCs w:val="36"/>
                </w:rPr>
                <w:t>nitrotoluene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C83E5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C3645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2,6</w:t>
                              </w:r>
                              <w:r w:rsidR="00E065C6" w:rsidRPr="00E065C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-Dinitrotoluene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is</w:t>
          </w:r>
          <w:r w:rsidR="007948B9">
            <w:rPr>
              <w:rFonts w:ascii="Arial" w:hAnsi="Arial" w:cs="Arial"/>
              <w:sz w:val="20"/>
              <w:szCs w:val="20"/>
            </w:rPr>
            <w:t xml:space="preserve"> a semi-volatile organic compound that is</w:t>
          </w:r>
          <w:r w:rsidR="00754F33">
            <w:rPr>
              <w:rFonts w:ascii="Arial" w:hAnsi="Arial" w:cs="Arial"/>
              <w:sz w:val="20"/>
              <w:szCs w:val="20"/>
            </w:rPr>
            <w:t xml:space="preserve"> classified by IARC as Group 2B, possibly carci</w:t>
          </w:r>
          <w:r w:rsidR="00B43820">
            <w:rPr>
              <w:rFonts w:ascii="Arial" w:hAnsi="Arial" w:cs="Arial"/>
              <w:sz w:val="20"/>
              <w:szCs w:val="20"/>
            </w:rPr>
            <w:t xml:space="preserve">nogenic to humans. It is </w:t>
          </w:r>
          <w:r w:rsidR="007948B9">
            <w:rPr>
              <w:rFonts w:ascii="Arial" w:hAnsi="Arial" w:cs="Arial"/>
              <w:sz w:val="20"/>
              <w:szCs w:val="20"/>
            </w:rPr>
            <w:t>fatal if</w:t>
          </w:r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B43820">
            <w:rPr>
              <w:rFonts w:ascii="Arial" w:hAnsi="Arial" w:cs="Arial"/>
              <w:sz w:val="20"/>
              <w:szCs w:val="20"/>
            </w:rPr>
            <w:t>inhaled</w:t>
          </w:r>
          <w:r w:rsidR="007948B9">
            <w:rPr>
              <w:rFonts w:ascii="Arial" w:hAnsi="Arial" w:cs="Arial"/>
              <w:sz w:val="20"/>
              <w:szCs w:val="20"/>
            </w:rPr>
            <w:t xml:space="preserve"> and toxic if ingested or absorbed through the skin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754F33">
            <w:rPr>
              <w:rFonts w:ascii="Arial" w:hAnsi="Arial" w:cs="Arial"/>
              <w:sz w:val="20"/>
              <w:szCs w:val="20"/>
            </w:rPr>
            <w:t xml:space="preserve"> It may cause respiratory tract, skin, and eye irritation.</w:t>
          </w:r>
          <w:r w:rsidR="00B43820">
            <w:rPr>
              <w:rFonts w:ascii="Arial" w:hAnsi="Arial" w:cs="Arial"/>
              <w:sz w:val="20"/>
              <w:szCs w:val="20"/>
            </w:rPr>
            <w:t xml:space="preserve"> It is a suspected teratogen and mutagen causing possible damage to fertility and genetic defects.</w:t>
          </w:r>
          <w:r w:rsidR="00A73335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2</w:t>
          </w:r>
          <w:r w:rsidR="00C36455">
            <w:rPr>
              <w:rFonts w:ascii="Arial" w:hAnsi="Arial" w:cs="Arial"/>
              <w:sz w:val="20"/>
              <w:szCs w:val="20"/>
            </w:rPr>
            <w:t>,6</w:t>
          </w:r>
          <w:r w:rsidR="00A73335">
            <w:rPr>
              <w:rFonts w:ascii="Arial" w:hAnsi="Arial" w:cs="Arial"/>
              <w:sz w:val="20"/>
              <w:szCs w:val="20"/>
            </w:rPr>
            <w:t>-</w:t>
          </w:r>
          <w:r w:rsidR="00522862">
            <w:rPr>
              <w:rFonts w:ascii="Arial" w:hAnsi="Arial" w:cs="Arial"/>
              <w:sz w:val="20"/>
              <w:szCs w:val="20"/>
            </w:rPr>
            <w:t>D</w:t>
          </w:r>
          <w:r w:rsidR="00B43820">
            <w:rPr>
              <w:rFonts w:ascii="Arial" w:hAnsi="Arial" w:cs="Arial"/>
              <w:sz w:val="20"/>
              <w:szCs w:val="20"/>
            </w:rPr>
            <w:t>initrotoluen</w:t>
          </w:r>
          <w:r w:rsidR="00A73335">
            <w:rPr>
              <w:rFonts w:ascii="Arial" w:hAnsi="Arial" w:cs="Arial"/>
              <w:sz w:val="20"/>
              <w:szCs w:val="20"/>
            </w:rPr>
            <w:t xml:space="preserve">e is </w:t>
          </w:r>
          <w:r w:rsidR="00754F33">
            <w:rPr>
              <w:rFonts w:ascii="Arial" w:hAnsi="Arial" w:cs="Arial"/>
              <w:sz w:val="20"/>
              <w:szCs w:val="20"/>
            </w:rPr>
            <w:t>mainly used in</w:t>
          </w:r>
          <w:r w:rsidR="00B43820">
            <w:rPr>
              <w:rFonts w:ascii="Arial" w:hAnsi="Arial" w:cs="Arial"/>
              <w:sz w:val="20"/>
              <w:szCs w:val="20"/>
            </w:rPr>
            <w:t xml:space="preserve"> the p</w:t>
          </w:r>
          <w:r w:rsidR="007948B9">
            <w:rPr>
              <w:rFonts w:ascii="Arial" w:hAnsi="Arial" w:cs="Arial"/>
              <w:sz w:val="20"/>
              <w:szCs w:val="20"/>
            </w:rPr>
            <w:t xml:space="preserve">roduction of </w:t>
          </w:r>
          <w:r w:rsidR="00B43820">
            <w:rPr>
              <w:rFonts w:ascii="Arial" w:hAnsi="Arial" w:cs="Arial"/>
              <w:sz w:val="20"/>
              <w:szCs w:val="20"/>
            </w:rPr>
            <w:t>polyurethane foams</w:t>
          </w:r>
          <w:r w:rsidR="007948B9">
            <w:rPr>
              <w:rFonts w:ascii="Arial" w:hAnsi="Arial" w:cs="Arial"/>
              <w:sz w:val="20"/>
              <w:szCs w:val="20"/>
            </w:rPr>
            <w:t xml:space="preserve">, automobile air bags, dyes, </w:t>
          </w:r>
          <w:r w:rsidR="00351F42">
            <w:rPr>
              <w:rFonts w:ascii="Arial" w:hAnsi="Arial" w:cs="Arial"/>
              <w:sz w:val="20"/>
              <w:szCs w:val="20"/>
            </w:rPr>
            <w:t xml:space="preserve">surface coatings, </w:t>
          </w:r>
          <w:r w:rsidR="007948B9">
            <w:rPr>
              <w:rFonts w:ascii="Arial" w:hAnsi="Arial" w:cs="Arial"/>
              <w:sz w:val="20"/>
              <w:szCs w:val="20"/>
            </w:rPr>
            <w:t xml:space="preserve">ammunition, and </w:t>
          </w:r>
          <w:r w:rsidR="00B43820">
            <w:rPr>
              <w:rFonts w:ascii="Arial" w:hAnsi="Arial" w:cs="Arial"/>
              <w:sz w:val="20"/>
              <w:szCs w:val="20"/>
            </w:rPr>
            <w:t>explosives</w:t>
          </w:r>
          <w:r w:rsidR="007948B9">
            <w:rPr>
              <w:rFonts w:ascii="Arial" w:hAnsi="Arial" w:cs="Arial"/>
              <w:sz w:val="20"/>
              <w:szCs w:val="20"/>
            </w:rPr>
            <w:t>, including trinitrotoluene (TNT)</w:t>
          </w:r>
          <w:r w:rsidR="00B4382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956BF">
            <w:rPr>
              <w:rFonts w:ascii="Arial" w:hAnsi="Arial" w:cs="Arial"/>
              <w:sz w:val="20"/>
              <w:szCs w:val="20"/>
            </w:rPr>
            <w:t>606-20-2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Carcinogen, teratogen, mutagen, toxic</w:t>
          </w:r>
          <w:r w:rsidR="00BF6ED0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9956BF">
            <w:rPr>
              <w:rFonts w:ascii="Arial" w:hAnsi="Arial" w:cs="Arial"/>
              <w:b/>
              <w:sz w:val="20"/>
              <w:szCs w:val="20"/>
              <w:u w:val="single"/>
            </w:rPr>
            <w:t xml:space="preserve">skin and respiratory sensitizer, </w:t>
          </w:r>
          <w:r w:rsidR="00BF6ED0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065C6" w:rsidRPr="00E065C6">
            <w:rPr>
              <w:rFonts w:ascii="Arial" w:hAnsi="Arial" w:cs="Arial"/>
              <w:sz w:val="20"/>
              <w:szCs w:val="20"/>
            </w:rPr>
            <w:t>C</w:t>
          </w:r>
          <w:r w:rsidR="00E065C6" w:rsidRPr="00E065C6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E065C6" w:rsidRPr="00E065C6">
            <w:rPr>
              <w:rFonts w:ascii="Arial" w:hAnsi="Arial" w:cs="Arial"/>
              <w:sz w:val="20"/>
              <w:szCs w:val="20"/>
            </w:rPr>
            <w:t>H</w:t>
          </w:r>
          <w:r w:rsidR="00E065C6" w:rsidRPr="00E065C6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E065C6" w:rsidRPr="00E065C6">
            <w:rPr>
              <w:rFonts w:ascii="Arial" w:hAnsi="Arial" w:cs="Arial"/>
              <w:sz w:val="20"/>
              <w:szCs w:val="20"/>
            </w:rPr>
            <w:t>N</w:t>
          </w:r>
          <w:r w:rsidR="00E065C6" w:rsidRPr="00E065C6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E065C6" w:rsidRPr="00E065C6">
            <w:rPr>
              <w:rFonts w:ascii="Arial" w:hAnsi="Arial" w:cs="Arial"/>
              <w:sz w:val="20"/>
              <w:szCs w:val="20"/>
            </w:rPr>
            <w:t>O</w:t>
          </w:r>
          <w:r w:rsidR="00E065C6" w:rsidRPr="00E065C6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72CBC">
            <w:rPr>
              <w:rFonts w:ascii="Arial" w:hAnsi="Arial" w:cs="Arial"/>
              <w:sz w:val="20"/>
              <w:szCs w:val="20"/>
            </w:rPr>
            <w:t>Solid</w:t>
          </w:r>
          <w:r w:rsidR="003008DC">
            <w:rPr>
              <w:rFonts w:ascii="Arial" w:hAnsi="Arial" w:cs="Arial"/>
              <w:sz w:val="20"/>
              <w:szCs w:val="20"/>
            </w:rPr>
            <w:t>, crystalline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442C1">
            <w:rPr>
              <w:rFonts w:ascii="Arial" w:hAnsi="Arial" w:cs="Arial"/>
              <w:sz w:val="20"/>
              <w:szCs w:val="20"/>
            </w:rPr>
            <w:t>Light y</w:t>
          </w:r>
          <w:r w:rsidR="00D5621A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956BF">
            <w:rPr>
              <w:rFonts w:ascii="Arial" w:hAnsi="Arial" w:cs="Arial"/>
              <w:sz w:val="20"/>
              <w:szCs w:val="20"/>
            </w:rPr>
            <w:t>285</w:t>
          </w:r>
          <w:r w:rsidR="00572CBC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C83E56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C36455">
                    <w:rPr>
                      <w:rFonts w:ascii="Arial" w:hAnsi="Arial" w:cs="Arial"/>
                      <w:sz w:val="20"/>
                      <w:szCs w:val="20"/>
                    </w:rPr>
                    <w:t>2,6</w:t>
                  </w:r>
                  <w:r w:rsidR="00E065C6">
                    <w:rPr>
                      <w:rFonts w:ascii="Arial" w:hAnsi="Arial" w:cs="Arial"/>
                      <w:sz w:val="20"/>
                      <w:szCs w:val="20"/>
                    </w:rPr>
                    <w:t>-Dinitrotoluene</w:t>
                  </w:r>
                  <w:r w:rsidR="00D375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442C1">
                <w:rPr>
                  <w:rFonts w:ascii="Arial" w:hAnsi="Arial" w:cs="Arial"/>
                  <w:sz w:val="20"/>
                  <w:szCs w:val="20"/>
                </w:rPr>
                <w:t>is classified by IARC as Group 2B, possibly carcinogenic to humans</w:t>
              </w:r>
              <w:r w:rsidR="00230472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It is a suspected reproductive toxicant causing damage to fertility and the unborn child. It is suspected of causing genetic defects.</w:t>
              </w:r>
              <w:r w:rsidR="00230472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is 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>fatal if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and toxic if ingested or</w:t>
              </w:r>
              <w:r w:rsidR="004606E8">
                <w:rPr>
                  <w:rFonts w:ascii="Arial" w:hAnsi="Arial" w:cs="Arial"/>
                  <w:sz w:val="20"/>
                  <w:szCs w:val="20"/>
                </w:rPr>
                <w:t xml:space="preserve"> absorbed through the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skin.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cause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 irritation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 with nausea, vomiting, headache, shortness of breath, unconsciousness, fati</w:t>
              </w:r>
              <w:r w:rsidR="00794BA9">
                <w:rPr>
                  <w:rFonts w:ascii="Arial" w:hAnsi="Arial" w:cs="Arial"/>
                  <w:sz w:val="20"/>
                  <w:szCs w:val="20"/>
                </w:rPr>
                <w:t>g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>ue, diz</w:t>
              </w:r>
              <w:r w:rsidR="002859B6">
                <w:rPr>
                  <w:rFonts w:ascii="Arial" w:hAnsi="Arial" w:cs="Arial"/>
                  <w:sz w:val="20"/>
                  <w:szCs w:val="20"/>
                </w:rPr>
                <w:t>ziness, and diarrhea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80EB9">
                <w:rPr>
                  <w:rFonts w:ascii="Arial" w:hAnsi="Arial" w:cs="Arial"/>
                  <w:sz w:val="20"/>
                  <w:szCs w:val="20"/>
                </w:rPr>
                <w:t>It may cause an allerg</w:t>
              </w:r>
              <w:r w:rsidR="00572CBC">
                <w:rPr>
                  <w:rFonts w:ascii="Arial" w:hAnsi="Arial" w:cs="Arial"/>
                  <w:sz w:val="20"/>
                  <w:szCs w:val="20"/>
                </w:rPr>
                <w:t>ic reaction</w:t>
              </w:r>
              <w:r w:rsidR="00780EB9">
                <w:rPr>
                  <w:rFonts w:ascii="Arial" w:hAnsi="Arial" w:cs="Arial"/>
                  <w:sz w:val="20"/>
                  <w:szCs w:val="20"/>
                </w:rPr>
                <w:t xml:space="preserve"> or asthma symptoms. </w:t>
              </w:r>
              <w:r w:rsidR="00F442C1" w:rsidRPr="00F442C1">
                <w:rPr>
                  <w:rFonts w:ascii="Arial" w:hAnsi="Arial" w:cs="Arial"/>
                  <w:sz w:val="20"/>
                  <w:szCs w:val="20"/>
                </w:rPr>
                <w:t xml:space="preserve">Absorption into the body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can </w:t>
              </w:r>
              <w:r w:rsidR="00F442C1" w:rsidRPr="00F442C1">
                <w:rPr>
                  <w:rFonts w:ascii="Arial" w:hAnsi="Arial" w:cs="Arial"/>
                  <w:sz w:val="20"/>
                  <w:szCs w:val="20"/>
                </w:rPr>
                <w:t>lead to the formation of methemoglobin w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hich can then cause</w:t>
              </w:r>
              <w:r w:rsidR="00F442C1" w:rsidRPr="00F442C1">
                <w:rPr>
                  <w:rFonts w:ascii="Arial" w:hAnsi="Arial" w:cs="Arial"/>
                  <w:sz w:val="20"/>
                  <w:szCs w:val="20"/>
                </w:rPr>
                <w:t xml:space="preserve"> cyanosis.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Symptoms may be delayed 2-4 hours or longer.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85D98">
                <w:rPr>
                  <w:rFonts w:ascii="Arial" w:hAnsi="Arial" w:cs="Arial"/>
                  <w:sz w:val="20"/>
                  <w:szCs w:val="20"/>
                </w:rPr>
                <w:t xml:space="preserve">It is an explosion hazard if confined and heated. </w:t>
              </w:r>
              <w:r w:rsidR="00C36455">
                <w:rPr>
                  <w:rFonts w:ascii="Arial" w:hAnsi="Arial" w:cs="Arial"/>
                  <w:sz w:val="20"/>
                  <w:szCs w:val="20"/>
                </w:rPr>
                <w:t>2,6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-Dinitrotoluene has a permissible exposure limit (PEL) of 1.5 mg/m</w:t>
              </w:r>
              <w:r w:rsidR="00E13B39" w:rsidRPr="00E13B39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0F4B18" w:rsidRPr="003F564F" w:rsidRDefault="000F4B18" w:rsidP="000F4B18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C83E5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r w:rsidR="00C36455">
                    <w:rPr>
                      <w:rFonts w:ascii="Arial" w:hAnsi="Arial" w:cs="Arial"/>
                      <w:sz w:val="20"/>
                      <w:szCs w:val="20"/>
                    </w:rPr>
                    <w:t>2,6</w:t>
                  </w:r>
                  <w:r w:rsidR="00E065C6" w:rsidRPr="00E065C6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E065C6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E065C6" w:rsidRPr="00E065C6">
                    <w:rPr>
                      <w:rFonts w:ascii="Arial" w:hAnsi="Arial" w:cs="Arial"/>
                      <w:sz w:val="20"/>
                      <w:szCs w:val="20"/>
                    </w:rPr>
                    <w:t>initrotoluene</w:t>
                  </w:r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C83E5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83E5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83E5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83E5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C83E5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glasses/goggles.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C83E5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555367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C83E5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C83E5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C83E5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C83E5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. Take victim immediately to the hospital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C83E5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C83E5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C83E5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B06891">
        <w:rPr>
          <w:rFonts w:ascii="Arial" w:hAnsi="Arial" w:cs="Arial"/>
          <w:sz w:val="20"/>
          <w:szCs w:val="20"/>
        </w:rPr>
        <w:t xml:space="preserve">Avoid oxidizing </w:t>
      </w:r>
      <w:r w:rsidR="007B027B">
        <w:rPr>
          <w:rFonts w:ascii="Arial" w:hAnsi="Arial" w:cs="Arial"/>
          <w:sz w:val="20"/>
          <w:szCs w:val="20"/>
        </w:rPr>
        <w:t>agen</w:t>
      </w:r>
      <w:r w:rsidR="00B06891">
        <w:rPr>
          <w:rFonts w:ascii="Arial" w:hAnsi="Arial" w:cs="Arial"/>
          <w:sz w:val="20"/>
          <w:szCs w:val="20"/>
        </w:rPr>
        <w:t xml:space="preserve">ts, reducing </w:t>
      </w:r>
      <w:r w:rsidR="00780EB9">
        <w:rPr>
          <w:rFonts w:ascii="Arial" w:hAnsi="Arial" w:cs="Arial"/>
          <w:sz w:val="20"/>
          <w:szCs w:val="20"/>
        </w:rPr>
        <w:t>agents, strong bases</w:t>
      </w:r>
      <w:r w:rsidR="00D85D98">
        <w:rPr>
          <w:rFonts w:ascii="Arial" w:hAnsi="Arial" w:cs="Arial"/>
          <w:sz w:val="20"/>
          <w:szCs w:val="20"/>
        </w:rPr>
        <w:t>, nitric acid, and sodium oxide</w:t>
      </w:r>
      <w:r w:rsidR="007B027B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F7A4D" w:rsidRDefault="009F7A4D" w:rsidP="009F7A4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9F7A4D" w:rsidRPr="00600ABB" w:rsidRDefault="009F7A4D" w:rsidP="009F7A4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F7A4D" w:rsidRDefault="009F7A4D" w:rsidP="009F7A4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1276A" w:rsidRDefault="0031276A" w:rsidP="009F7A4D">
      <w:pPr>
        <w:rPr>
          <w:rFonts w:ascii="Arial" w:hAnsi="Arial" w:cs="Arial"/>
          <w:sz w:val="20"/>
          <w:szCs w:val="20"/>
        </w:rPr>
      </w:pPr>
    </w:p>
    <w:p w:rsidR="009F7A4D" w:rsidRDefault="009F7A4D" w:rsidP="009F7A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9F7A4D" w:rsidRPr="00C94889" w:rsidRDefault="009F7A4D" w:rsidP="009F7A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F7A4D" w:rsidRDefault="009F7A4D" w:rsidP="009F7A4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9F7A4D" w:rsidRPr="003F564F" w:rsidRDefault="009F7A4D" w:rsidP="009F7A4D">
      <w:pPr>
        <w:pStyle w:val="Heading1"/>
      </w:pPr>
    </w:p>
    <w:p w:rsidR="009F7A4D" w:rsidRDefault="009F7A4D" w:rsidP="009F7A4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9F7A4D" w:rsidRPr="00265CA6" w:rsidRDefault="009F7A4D" w:rsidP="009F7A4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9F7A4D" w:rsidRDefault="009F7A4D" w:rsidP="009F7A4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9F7A4D" w:rsidRPr="00265CA6" w:rsidRDefault="009F7A4D" w:rsidP="009F7A4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26A1D" w:rsidRPr="00F17523" w:rsidRDefault="00826A1D" w:rsidP="00826A1D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26A1D" w:rsidRPr="00826A1D" w:rsidRDefault="00826A1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826A1D" w:rsidRDefault="00C83E56" w:rsidP="00826A1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1276A" w:rsidRDefault="0031276A" w:rsidP="0031276A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31276A" w:rsidRDefault="0031276A" w:rsidP="003127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 w:rsidRPr="00803871">
        <w:rPr>
          <w:rFonts w:ascii="Arial" w:hAnsi="Arial" w:cs="Arial"/>
          <w:b/>
          <w:sz w:val="24"/>
          <w:szCs w:val="24"/>
        </w:rPr>
        <w:t xml:space="preserve"> </w:t>
      </w:r>
    </w:p>
    <w:p w:rsidR="00C406D4" w:rsidRPr="00C060FA" w:rsidRDefault="00C406D4" w:rsidP="0031276A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C83E5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r w:rsidR="00E065C6" w:rsidRPr="00E065C6">
                    <w:rPr>
                      <w:rFonts w:ascii="Arial" w:hAnsi="Arial" w:cs="Arial"/>
                      <w:sz w:val="20"/>
                      <w:szCs w:val="20"/>
                    </w:rPr>
                    <w:t>2,</w:t>
                  </w:r>
                  <w:r w:rsidR="00C36455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E065C6" w:rsidRPr="00E065C6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E065C6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E065C6" w:rsidRPr="00E065C6">
                    <w:rPr>
                      <w:rFonts w:ascii="Arial" w:hAnsi="Arial" w:cs="Arial"/>
                      <w:sz w:val="20"/>
                      <w:szCs w:val="20"/>
                    </w:rPr>
                    <w:t>initrotoluene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16E6" w:rsidRPr="00514382" w:rsidRDefault="002216E6" w:rsidP="002216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2216E6" w:rsidRPr="00514382" w:rsidRDefault="002216E6" w:rsidP="002216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16E6" w:rsidRPr="00514382" w:rsidRDefault="002216E6" w:rsidP="002216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1276A" w:rsidRDefault="0031276A" w:rsidP="0031276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31276A" w:rsidRDefault="0031276A" w:rsidP="0031276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1276A" w:rsidRDefault="0031276A" w:rsidP="0031276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891588" w:rsidRDefault="00891588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56" w:rsidRDefault="00C83E56" w:rsidP="00E83E8B">
      <w:pPr>
        <w:spacing w:after="0" w:line="240" w:lineRule="auto"/>
      </w:pPr>
      <w:r>
        <w:separator/>
      </w:r>
    </w:p>
  </w:endnote>
  <w:endnote w:type="continuationSeparator" w:id="0">
    <w:p w:rsidR="00C83E56" w:rsidRDefault="00C83E5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C83E5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r w:rsidR="00C36455">
                  <w:rPr>
                    <w:rFonts w:ascii="Arial" w:hAnsi="Arial" w:cs="Arial"/>
                    <w:sz w:val="20"/>
                    <w:szCs w:val="20"/>
                  </w:rPr>
                  <w:t>2,6</w:t>
                </w:r>
                <w:r w:rsidR="00E065C6" w:rsidRPr="00E065C6">
                  <w:rPr>
                    <w:rFonts w:ascii="Arial" w:hAnsi="Arial" w:cs="Arial"/>
                    <w:sz w:val="20"/>
                    <w:szCs w:val="20"/>
                  </w:rPr>
                  <w:t>-Dinitrotoluene</w:t>
                </w:r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5C6" w:rsidRPr="00F909E2">
          <w:rPr>
            <w:rFonts w:ascii="Arial" w:hAnsi="Arial" w:cs="Arial"/>
            <w:sz w:val="18"/>
            <w:szCs w:val="18"/>
          </w:rPr>
          <w:tab/>
        </w:r>
        <w:r w:rsidR="0031276A">
          <w:rPr>
            <w:rFonts w:ascii="Arial" w:hAnsi="Arial"/>
            <w:bCs/>
            <w:sz w:val="18"/>
            <w:szCs w:val="18"/>
          </w:rPr>
          <w:t xml:space="preserve">Page </w:t>
        </w:r>
        <w:r w:rsidR="0031276A">
          <w:rPr>
            <w:rFonts w:ascii="Arial" w:hAnsi="Arial"/>
            <w:bCs/>
            <w:sz w:val="18"/>
            <w:szCs w:val="18"/>
          </w:rPr>
          <w:fldChar w:fldCharType="begin"/>
        </w:r>
        <w:r w:rsidR="0031276A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31276A">
          <w:rPr>
            <w:rFonts w:ascii="Arial" w:hAnsi="Arial"/>
            <w:bCs/>
            <w:sz w:val="18"/>
            <w:szCs w:val="18"/>
          </w:rPr>
          <w:fldChar w:fldCharType="separate"/>
        </w:r>
        <w:r w:rsidR="0031276A">
          <w:rPr>
            <w:rFonts w:ascii="Arial" w:hAnsi="Arial"/>
            <w:bCs/>
            <w:noProof/>
            <w:sz w:val="18"/>
            <w:szCs w:val="18"/>
          </w:rPr>
          <w:t>1</w:t>
        </w:r>
        <w:r w:rsidR="0031276A">
          <w:rPr>
            <w:rFonts w:ascii="Arial" w:hAnsi="Arial"/>
            <w:bCs/>
            <w:sz w:val="18"/>
            <w:szCs w:val="18"/>
          </w:rPr>
          <w:fldChar w:fldCharType="end"/>
        </w:r>
        <w:r w:rsidR="0031276A">
          <w:rPr>
            <w:rFonts w:ascii="Arial" w:hAnsi="Arial"/>
            <w:sz w:val="18"/>
            <w:szCs w:val="18"/>
          </w:rPr>
          <w:t xml:space="preserve"> of </w:t>
        </w:r>
        <w:r w:rsidR="0031276A">
          <w:rPr>
            <w:rFonts w:ascii="Arial" w:hAnsi="Arial"/>
            <w:bCs/>
            <w:sz w:val="18"/>
            <w:szCs w:val="18"/>
          </w:rPr>
          <w:fldChar w:fldCharType="begin"/>
        </w:r>
        <w:r w:rsidR="0031276A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31276A">
          <w:rPr>
            <w:rFonts w:ascii="Arial" w:hAnsi="Arial"/>
            <w:bCs/>
            <w:sz w:val="18"/>
            <w:szCs w:val="18"/>
          </w:rPr>
          <w:fldChar w:fldCharType="separate"/>
        </w:r>
        <w:r w:rsidR="0031276A">
          <w:rPr>
            <w:rFonts w:ascii="Arial" w:hAnsi="Arial"/>
            <w:bCs/>
            <w:noProof/>
            <w:sz w:val="18"/>
            <w:szCs w:val="18"/>
          </w:rPr>
          <w:t>5</w:t>
        </w:r>
        <w:r w:rsidR="0031276A">
          <w:rPr>
            <w:rFonts w:ascii="Arial" w:hAnsi="Arial"/>
            <w:bCs/>
            <w:sz w:val="18"/>
            <w:szCs w:val="18"/>
          </w:rPr>
          <w:fldChar w:fldCharType="end"/>
        </w:r>
        <w:r w:rsidR="00E065C6" w:rsidRPr="00F909E2">
          <w:rPr>
            <w:rFonts w:ascii="Arial" w:hAnsi="Arial" w:cs="Arial"/>
            <w:noProof/>
            <w:sz w:val="18"/>
            <w:szCs w:val="18"/>
          </w:rPr>
          <w:tab/>
        </w:r>
        <w:r w:rsidR="0031276A">
          <w:rPr>
            <w:rFonts w:ascii="Arial" w:hAnsi="Arial"/>
            <w:bCs/>
            <w:sz w:val="18"/>
            <w:szCs w:val="18"/>
          </w:rPr>
          <w:t>Date: 10/16/2017</w:t>
        </w:r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0F4B18" w:rsidRDefault="0031276A" w:rsidP="0031276A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56" w:rsidRDefault="00C83E56" w:rsidP="00E83E8B">
      <w:pPr>
        <w:spacing w:after="0" w:line="240" w:lineRule="auto"/>
      </w:pPr>
      <w:r>
        <w:separator/>
      </w:r>
    </w:p>
  </w:footnote>
  <w:footnote w:type="continuationSeparator" w:id="0">
    <w:p w:rsidR="00C83E56" w:rsidRDefault="00C83E5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3127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77D91"/>
    <w:rsid w:val="000925EA"/>
    <w:rsid w:val="000B4916"/>
    <w:rsid w:val="000B6958"/>
    <w:rsid w:val="000D5EF1"/>
    <w:rsid w:val="000F4B18"/>
    <w:rsid w:val="000F5131"/>
    <w:rsid w:val="00101525"/>
    <w:rsid w:val="00136FBD"/>
    <w:rsid w:val="00144D72"/>
    <w:rsid w:val="001553A4"/>
    <w:rsid w:val="00160845"/>
    <w:rsid w:val="001932B2"/>
    <w:rsid w:val="00195118"/>
    <w:rsid w:val="001A0C46"/>
    <w:rsid w:val="001B4A9A"/>
    <w:rsid w:val="001D0366"/>
    <w:rsid w:val="001D0CA6"/>
    <w:rsid w:val="001E5B1B"/>
    <w:rsid w:val="001E7850"/>
    <w:rsid w:val="001F017E"/>
    <w:rsid w:val="00215722"/>
    <w:rsid w:val="00216F3E"/>
    <w:rsid w:val="002216E6"/>
    <w:rsid w:val="00230472"/>
    <w:rsid w:val="00236F33"/>
    <w:rsid w:val="00263ED1"/>
    <w:rsid w:val="00265CA6"/>
    <w:rsid w:val="002859B6"/>
    <w:rsid w:val="002926ED"/>
    <w:rsid w:val="0029599E"/>
    <w:rsid w:val="002B3921"/>
    <w:rsid w:val="002D4E9C"/>
    <w:rsid w:val="002D7407"/>
    <w:rsid w:val="002F608E"/>
    <w:rsid w:val="003007A9"/>
    <w:rsid w:val="003008DC"/>
    <w:rsid w:val="0031276A"/>
    <w:rsid w:val="00351F42"/>
    <w:rsid w:val="0036571E"/>
    <w:rsid w:val="00366414"/>
    <w:rsid w:val="00366DA6"/>
    <w:rsid w:val="0037238F"/>
    <w:rsid w:val="003904D4"/>
    <w:rsid w:val="003950E9"/>
    <w:rsid w:val="003F564F"/>
    <w:rsid w:val="0041655D"/>
    <w:rsid w:val="00417361"/>
    <w:rsid w:val="00426401"/>
    <w:rsid w:val="00427421"/>
    <w:rsid w:val="0045145C"/>
    <w:rsid w:val="004606E8"/>
    <w:rsid w:val="00466412"/>
    <w:rsid w:val="00471562"/>
    <w:rsid w:val="004D5373"/>
    <w:rsid w:val="004E621D"/>
    <w:rsid w:val="004E6D71"/>
    <w:rsid w:val="004F00F7"/>
    <w:rsid w:val="00506A59"/>
    <w:rsid w:val="0052121D"/>
    <w:rsid w:val="00522862"/>
    <w:rsid w:val="00530E90"/>
    <w:rsid w:val="00555367"/>
    <w:rsid w:val="005607A6"/>
    <w:rsid w:val="00572CBC"/>
    <w:rsid w:val="005F4E74"/>
    <w:rsid w:val="00637757"/>
    <w:rsid w:val="00657ED6"/>
    <w:rsid w:val="00672441"/>
    <w:rsid w:val="00693D76"/>
    <w:rsid w:val="006F154A"/>
    <w:rsid w:val="007268C5"/>
    <w:rsid w:val="00734BB8"/>
    <w:rsid w:val="00754F33"/>
    <w:rsid w:val="007655C3"/>
    <w:rsid w:val="00766198"/>
    <w:rsid w:val="007733F7"/>
    <w:rsid w:val="00775A50"/>
    <w:rsid w:val="00780EB9"/>
    <w:rsid w:val="00787432"/>
    <w:rsid w:val="00787DFC"/>
    <w:rsid w:val="007948B9"/>
    <w:rsid w:val="00794BA9"/>
    <w:rsid w:val="007B027B"/>
    <w:rsid w:val="007D0987"/>
    <w:rsid w:val="007D58BC"/>
    <w:rsid w:val="007E0055"/>
    <w:rsid w:val="007F1DB4"/>
    <w:rsid w:val="007F654E"/>
    <w:rsid w:val="00803871"/>
    <w:rsid w:val="008168DD"/>
    <w:rsid w:val="00826A1D"/>
    <w:rsid w:val="00837AFC"/>
    <w:rsid w:val="0084116F"/>
    <w:rsid w:val="00850978"/>
    <w:rsid w:val="00866AE7"/>
    <w:rsid w:val="008706E6"/>
    <w:rsid w:val="00874FAC"/>
    <w:rsid w:val="00890BB6"/>
    <w:rsid w:val="008912DB"/>
    <w:rsid w:val="00891588"/>
    <w:rsid w:val="00891D4B"/>
    <w:rsid w:val="00895159"/>
    <w:rsid w:val="008A2498"/>
    <w:rsid w:val="008D2755"/>
    <w:rsid w:val="008D6F93"/>
    <w:rsid w:val="008E6308"/>
    <w:rsid w:val="008F73D6"/>
    <w:rsid w:val="009102FF"/>
    <w:rsid w:val="00917F75"/>
    <w:rsid w:val="00932451"/>
    <w:rsid w:val="009452B5"/>
    <w:rsid w:val="00952B71"/>
    <w:rsid w:val="009707BA"/>
    <w:rsid w:val="00972CE1"/>
    <w:rsid w:val="00987262"/>
    <w:rsid w:val="009956BF"/>
    <w:rsid w:val="009D370A"/>
    <w:rsid w:val="009D663E"/>
    <w:rsid w:val="009E60E3"/>
    <w:rsid w:val="009F5503"/>
    <w:rsid w:val="009F7A4D"/>
    <w:rsid w:val="00A119D1"/>
    <w:rsid w:val="00A52E06"/>
    <w:rsid w:val="00A60A2A"/>
    <w:rsid w:val="00A611A7"/>
    <w:rsid w:val="00A70036"/>
    <w:rsid w:val="00A73335"/>
    <w:rsid w:val="00A874A1"/>
    <w:rsid w:val="00AF4FD3"/>
    <w:rsid w:val="00AF63A0"/>
    <w:rsid w:val="00B06891"/>
    <w:rsid w:val="00B3717C"/>
    <w:rsid w:val="00B4188D"/>
    <w:rsid w:val="00B43820"/>
    <w:rsid w:val="00B50CCA"/>
    <w:rsid w:val="00B54425"/>
    <w:rsid w:val="00B6326D"/>
    <w:rsid w:val="00BC12CE"/>
    <w:rsid w:val="00BD3737"/>
    <w:rsid w:val="00BF6E77"/>
    <w:rsid w:val="00BF6ED0"/>
    <w:rsid w:val="00C060FA"/>
    <w:rsid w:val="00C23BD2"/>
    <w:rsid w:val="00C2738D"/>
    <w:rsid w:val="00C358F4"/>
    <w:rsid w:val="00C36455"/>
    <w:rsid w:val="00C406D4"/>
    <w:rsid w:val="00C757A4"/>
    <w:rsid w:val="00C83E56"/>
    <w:rsid w:val="00CA41A4"/>
    <w:rsid w:val="00CC7E19"/>
    <w:rsid w:val="00D00746"/>
    <w:rsid w:val="00D21841"/>
    <w:rsid w:val="00D375D0"/>
    <w:rsid w:val="00D5621A"/>
    <w:rsid w:val="00D57E5A"/>
    <w:rsid w:val="00D8294B"/>
    <w:rsid w:val="00D85D98"/>
    <w:rsid w:val="00DB70FD"/>
    <w:rsid w:val="00DC39EF"/>
    <w:rsid w:val="00DD6C8F"/>
    <w:rsid w:val="00E00AF6"/>
    <w:rsid w:val="00E065C6"/>
    <w:rsid w:val="00E13ADC"/>
    <w:rsid w:val="00E13B39"/>
    <w:rsid w:val="00E4696A"/>
    <w:rsid w:val="00E706C6"/>
    <w:rsid w:val="00E83E8B"/>
    <w:rsid w:val="00E842B3"/>
    <w:rsid w:val="00E93704"/>
    <w:rsid w:val="00F02D08"/>
    <w:rsid w:val="00F07C45"/>
    <w:rsid w:val="00F212B5"/>
    <w:rsid w:val="00F21797"/>
    <w:rsid w:val="00F278BB"/>
    <w:rsid w:val="00F442C1"/>
    <w:rsid w:val="00F46DA3"/>
    <w:rsid w:val="00F5528A"/>
    <w:rsid w:val="00F664F6"/>
    <w:rsid w:val="00F818B8"/>
    <w:rsid w:val="00F826F5"/>
    <w:rsid w:val="00F83F09"/>
    <w:rsid w:val="00F909E2"/>
    <w:rsid w:val="00F96647"/>
    <w:rsid w:val="00FA7DD0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1C33E"/>
  <w15:docId w15:val="{CBEB4AFB-4606-4787-81C0-C2B72A16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B5EBF"/>
    <w:rsid w:val="00260C72"/>
    <w:rsid w:val="00355CA5"/>
    <w:rsid w:val="003847B2"/>
    <w:rsid w:val="003D0F2D"/>
    <w:rsid w:val="004F1CE5"/>
    <w:rsid w:val="004F7EA9"/>
    <w:rsid w:val="005938EF"/>
    <w:rsid w:val="005A70F7"/>
    <w:rsid w:val="005C71DD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941C4D"/>
    <w:rsid w:val="00966BD6"/>
    <w:rsid w:val="00992041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A32D6"/>
    <w:rsid w:val="00CA4FC4"/>
    <w:rsid w:val="00CE5088"/>
    <w:rsid w:val="00CF2FDA"/>
    <w:rsid w:val="00D7087C"/>
    <w:rsid w:val="00DD5D93"/>
    <w:rsid w:val="00DF3CCD"/>
    <w:rsid w:val="00E44D33"/>
    <w:rsid w:val="00ED112D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7450-17A9-4402-8121-0E0DA95B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2017-08-14T18:04:00Z</dcterms:created>
  <dcterms:modified xsi:type="dcterms:W3CDTF">2017-10-16T20:02:00Z</dcterms:modified>
</cp:coreProperties>
</file>